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jpg" ContentType="image/jpeg"/>
  <Default Extension="bmp" ContentType="image/bmp"/>
  <Default Extension="gif" ContentType="image/gif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jc w:val="center"/>
        <w:spacing w:before="1200" w:after="200"/>
        <w:rPr>
          <w:shd w:val="clear"/>
        </w:rPr>
      </w:pPr>
      <w:r>
        <w:rPr>
          <w:b w:val="1"/>
          <w:sz w:val="52"/>
          <w:szCs w:val="52"/>
          <w:shd w:val="clear"/>
          <w:rFonts w:ascii="Malgun Gothic" w:eastAsia="Malgun Gothic" w:hAnsi="Malgun Gothic" w:cs="Malgun Gothic"/>
        </w:rPr>
        <w:t xml:space="preserve">사 업 계 획 서</w:t>
      </w:r>
    </w:p>
    <w:p>
      <w:pPr>
        <w:jc w:val="center"/>
        <w:spacing w:after="500"/>
        <w:rPr>
          <w:shd w:val="clear"/>
        </w:rPr>
      </w:pPr>
      <w:r>
        <w:rPr>
          <w:b w:val="1"/>
          <w:color w:val="1F3864"/>
          <w:sz w:val="30"/>
          <w:szCs w:val="30"/>
          <w:shd w:val="clear"/>
          <w:rFonts w:ascii="Malgun Gothic" w:eastAsia="Malgun Gothic" w:hAnsi="Malgun Gothic" w:cs="Malgun Gothic"/>
        </w:rPr>
        <w:t xml:space="preserve">참여형 간식 커머스 「간식쿠지」</w:t>
      </w:r>
    </w:p>
    <w:p>
      <w:pPr>
        <w:jc w:val="center"/>
        <w:spacing w:after="60"/>
        <w:rPr>
          <w:shd w:val="clear"/>
        </w:rPr>
      </w:pPr>
      <w:r>
        <w:rPr>
          <w:sz w:val="22"/>
          <w:szCs w:val="22"/>
          <w:shd w:val="clear"/>
          <w:rFonts w:ascii="Malgun Gothic" w:eastAsia="Malgun Gothic" w:hAnsi="Malgun Gothic" w:cs="Malgun Gothic"/>
        </w:rPr>
        <w:t xml:space="preserve">간식 소분 판매와 온라인 쿠지 경험을 결합한 참여형 간식 커머스</w:t>
      </w:r>
    </w:p>
    <w:p>
      <w:pPr>
        <w:jc w:val="center"/>
        <w:spacing w:after="800"/>
        <w:rPr>
          <w:shd w:val="clear"/>
        </w:rPr>
      </w:pPr>
      <w:r>
        <w:rPr>
          <w:color w:val="555555"/>
          <w:sz w:val="22"/>
          <w:szCs w:val="22"/>
          <w:shd w:val="clear"/>
          <w:rFonts w:ascii="Malgun Gothic" w:eastAsia="Malgun Gothic" w:hAnsi="Malgun Gothic" w:cs="Malgun Gothic"/>
        </w:rPr>
        <w:t xml:space="preserve">— 소분 판매로 시작해 간식 제조 브랜드로 성장하는 단계별 사업계획 —</w:t>
      </w:r>
    </w:p>
    <w:p>
      <w:pPr>
        <w:jc w:val="center"/>
        <w:spacing w:after="0"/>
        <w:rPr>
          <w:sz w:val="22"/>
          <w:szCs w:val="22"/>
          <w:shd w:val="clear"/>
          <w:rFonts w:ascii="Malgun Gothic" w:eastAsia="Malgun Gothic" w:hAnsi="Malgun Gothic" w:cs="Malgun Gothic"/>
        </w:rPr>
      </w:pPr>
      <w:r>
        <w:rPr>
          <w:sz w:val="22"/>
          <w:szCs w:val="22"/>
          <w:shd w:val="clear"/>
          <w:rFonts w:ascii="Malgun Gothic" w:eastAsia="Malgun Gothic" w:hAnsi="Malgun Gothic" w:cs="Malgun Gothic"/>
        </w:rPr>
        <w:t xml:space="preserve">2026. 8.</w:t>
      </w:r>
    </w:p>
    <w:p>
      <w:pPr>
        <w:jc w:val="center"/>
        <w:spacing w:after="0"/>
        <w:rPr>
          <w:sz w:val="22"/>
          <w:szCs w:val="22"/>
          <w:shd w:val="clear"/>
          <w:rFonts w:ascii="Malgun Gothic" w:eastAsia="Malgun Gothic" w:hAnsi="Malgun Gothic" w:cs="Malgun Gothic"/>
        </w:rPr>
      </w:pPr>
    </w:p>
    <w:p>
      <w:pPr>
        <w:jc w:val="center"/>
        <w:spacing w:after="0"/>
        <w:rPr>
          <w:shd w:val="clear"/>
        </w:rPr>
      </w:pPr>
      <w:r>
        <w:rPr>
          <w:sz w:val="22"/>
          <w:szCs w:val="22"/>
          <w:shd w:val="clear"/>
          <w:rFonts w:ascii="Malgun Gothic" w:eastAsia="Malgun Gothic" w:hAnsi="Malgun Gothic" w:cs="Malgun Gothic"/>
        </w:rPr>
        <w:t xml:space="preserve">대표 백재민</w:t>
      </w:r>
    </w:p>
    <w:p>
      <w:pPr>
        <w:rPr>
          <w:shd w:val="clear"/>
        </w:rPr>
      </w:pPr>
      <w:r>
        <w:br w:type="page"/>
      </w:r>
    </w:p>
    <w:p>
      <w:pPr>
        <w:pStyle w:val="PO151"/>
        <w:spacing w:before="320" w:after="180"/>
        <w:rPr>
          <w:shd w:val="clear"/>
        </w:rPr>
      </w:pPr>
      <w:r>
        <w:rPr>
          <w:b w:val="1"/>
          <w:color w:val="1F3864"/>
          <w:sz w:val="26"/>
          <w:szCs w:val="26"/>
          <w:shd w:val="clear"/>
          <w:rFonts w:ascii="Malgun Gothic" w:eastAsia="Malgun Gothic" w:hAnsi="Malgun Gothic" w:cs="Malgun Gothic"/>
        </w:rPr>
        <w:t xml:space="preserve">1. 사업 개요</w:t>
      </w:r>
    </w:p>
    <w:p>
      <w:pPr>
        <w:jc w:val="both"/>
        <w:spacing w:lineRule="auto" w:line="300" w:after="16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「간식쿠지」는 다양한 간식을 소분해 판매하는 사업을 기반으로, 온라인 쿠지(제비뽑기)의 번호 선택과 개봉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경험을 결합한 참여형 간식 커머스 서비스다. 고객은 웹사이트에서 원하는 쿠지 번호를 직접 선택하고 화면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속 봉투를 당겨 개봉하며, 당첨된 상품은 실제 배송받을 수 있는 실물 간식으로 제공된다.</w:t>
      </w:r>
    </w:p>
    <w:p>
      <w:pPr>
        <w:jc w:val="both"/>
        <w:spacing w:lineRule="auto" w:line="300" w:after="16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대표자 1인이 사업 아이템을 직접 기획하고, PC와 모바일에서 이용할 수 있는 웹서비스를 직접 개발해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운영한다. 현재 웹서비스는 핵심 기능 개발이 완료된 상태로, PG 결제 연동과 디자인 마무리 후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베타테스트를 거쳐 정식 운영에 들어갈 계획이다.</w:t>
      </w:r>
    </w:p>
    <w:p>
      <w:pPr>
        <w:jc w:val="both"/>
        <w:spacing w:lineRule="auto" w:line="300" w:after="16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사업은 현재와 미래를 명확히 구분해 추진한다. 현재는 관련 기준과 인허가에 맞춘 간식 소분 및 온라인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판매가 사업의 중심이며, 간식 제조는 소분 판매를 통해 고객·판매데이터·브랜드 인지도를 확보한 뒤 필요한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시설과 인허가 요건을 갖춰 추진하는 중장기 목표다.</w:t>
      </w:r>
    </w:p>
    <w:p>
      <w:pPr>
        <w:pStyle w:val="PO152"/>
        <w:spacing w:before="220" w:after="120"/>
        <w:rPr>
          <w:shd w:val="clear"/>
        </w:rPr>
      </w:pPr>
      <w:r>
        <w:rPr>
          <w:b w:val="1"/>
          <w:color w:val="2E5395"/>
          <w:sz w:val="22"/>
          <w:szCs w:val="22"/>
          <w:shd w:val="clear"/>
          <w:rFonts w:ascii="Malgun Gothic" w:eastAsia="Malgun Gothic" w:hAnsi="Malgun Gothic" w:cs="Malgun Gothic"/>
        </w:rPr>
        <w:t xml:space="preserve">사업 성장 로드맵 (7단계)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1단계: 간식 소분 및 온라인 판매 (현재 준비 단계)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2단계: 간식쿠지를 통한 고객과 판매데이터 확보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3단계: 자체 레시피와 상품기획 역량 축적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4단계: 간식 제조에 필요한 시설·인허가 확보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5단계: 자체 브랜드 간식 제조 및 판매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6단계: 자체 제조상품을 활용한 간식쿠지 운영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7단계: 온라인 유통, 기업 납품 및 지역 판로 확대</w:t>
      </w:r>
    </w:p>
    <w:p>
      <w:pPr>
        <w:pStyle w:val="PO151"/>
        <w:spacing w:before="320" w:after="180"/>
        <w:rPr>
          <w:shd w:val="clear"/>
        </w:rPr>
      </w:pPr>
      <w:r>
        <w:rPr>
          <w:b w:val="1"/>
          <w:color w:val="1F3864"/>
          <w:sz w:val="26"/>
          <w:szCs w:val="26"/>
          <w:shd w:val="clear"/>
          <w:rFonts w:ascii="Malgun Gothic" w:eastAsia="Malgun Gothic" w:hAnsi="Malgun Gothic" w:cs="Malgun Gothic"/>
        </w:rPr>
        <w:t xml:space="preserve">2. 창업 배경과 사업 목적</w:t>
      </w:r>
    </w:p>
    <w:p>
      <w:pPr>
        <w:jc w:val="both"/>
        <w:spacing w:lineRule="auto" w:line="300" w:after="16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기존 온라인 간식 판매는 고객이 원하는 상품을 검색하고 결제하는 방식이 대부분이어서, 구매 과정에서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차별화된 경험을 제공하기 어렵다. 간식쿠지는 간식이라는 친숙하고 반복구매가 가능한 상품에 쿠지의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선택성, 기대감, 개봉 경험을 결합해 상품을 구매하는 과정 자체를 하나의 콘텐츠로 만들기 위해 기획됐다.</w:t>
      </w:r>
    </w:p>
    <w:p>
      <w:pPr>
        <w:jc w:val="both"/>
        <w:spacing w:lineRule="auto" w:line="300" w:after="16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초기에는 여러 종류의 간식을 소분해 소비자가 다양한 상품을 부담 없이 경험하도록 한다. 이 과정에서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고객이 선호하는 맛과 식감, 인기 있는 간식 종류, 가격대별 구매반응, 재구매율이 높은 상품,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계절별·연령대별 선호, 고객 후기와 쿠지판별 판매속도 등의 데이터가 축적된다.</w:t>
      </w:r>
    </w:p>
    <w:p>
      <w:pPr>
        <w:jc w:val="both"/>
        <w:spacing w:lineRule="auto" w:line="300" w:after="16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즉, 소분업은 단순한 초기 판매방식이 아니라 향후 자체 간식 제조를 위한 시장검증 단계다. 실제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구매데이터로 검증된 상품을 기획해 제조로 확장함으로써, 신제품 개발의 실패 가능성을 낮추고 단계적으로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위험을 관리하는 것이 본 사업의 핵심 목적이다.</w:t>
      </w:r>
    </w:p>
    <w:p>
      <w:pPr>
        <w:pStyle w:val="PO151"/>
        <w:spacing w:before="320" w:after="180"/>
        <w:rPr>
          <w:shd w:val="clear"/>
        </w:rPr>
      </w:pPr>
      <w:r>
        <w:rPr>
          <w:b w:val="1"/>
          <w:color w:val="1F3864"/>
          <w:sz w:val="26"/>
          <w:szCs w:val="26"/>
          <w:shd w:val="clear"/>
          <w:rFonts w:ascii="Malgun Gothic" w:eastAsia="Malgun Gothic" w:hAnsi="Malgun Gothic" w:cs="Malgun Gothic"/>
        </w:rPr>
        <w:t xml:space="preserve">3. 간식쿠지 서비스 구조</w:t>
      </w:r>
    </w:p>
    <w:p>
      <w:pPr>
        <w:jc w:val="both"/>
        <w:spacing w:lineRule="auto" w:line="300" w:after="16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고객은 다음 흐름으로 서비스를 이용한다.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① 회원가입 또는 간편로그인 → ② 포인트 또는 이용권 구매 → ③ 진행 중인 간식쿠지판 입장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④ 남아 있는 쿠지 중 원하는 번호 선택 → ⑤ 화면의 쿠지 봉투를 직접 당겨 개봉 → ⑥ 당첨된 실물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간식 확인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⑦ 당첨 상품을 개인 보관함에 저장 → ⑧ 여러 상품을 모아 한 번에 배송 신청 → ⑨ 배송을 원하지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않는 상품은 운영정책에 따라 내부 포인트로 전환</w:t>
      </w:r>
    </w:p>
    <w:p>
      <w:pPr>
        <w:jc w:val="both"/>
        <w:spacing w:lineRule="auto" w:line="300" w:after="12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상품은 쿠지판 판매 시작 전에 모든 번호에 배정되며, 운영 중 결과가 임의로 변경되지 않는 구조를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지향한다. 모든 번호에 실물 간식이 배정되므로 고객은 어떤 번호를 선택하든 실제 상품을 받는다. 마지막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남은 쿠지를 선택한 고객에게는 별도의 라스트원 상품을 제공해 쿠지판 완판 동기를 부여한다.</w:t>
      </w:r>
    </w:p>
    <w:p>
      <w:pPr>
        <w:jc w:val="both"/>
        <w:spacing w:lineRule="auto" w:line="300" w:after="16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쿠지 1회 이용 가격은 5,000원이며, 쿠지판 1판은 100개, 300개 등 다양한 규모로 구성한다. 상품 구성은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네이버 스마트스토어 일반 판매가(5,900원 기준)를 기준으로 운영에 손실이 발생하지 않는 구조로 설계한다.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간식쿠지는 단순한 무작위 상품 판매가 아니라, 고객이 번호를 직접 선택하고 개봉 과정에 참여하는 실물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간식 기반의 체험형 커머스다.</w:t>
      </w:r>
    </w:p>
    <w:p>
      <w:pPr>
        <w:pStyle w:val="PO151"/>
        <w:spacing w:before="320" w:after="180"/>
        <w:rPr>
          <w:shd w:val="clear"/>
        </w:rPr>
      </w:pPr>
      <w:r>
        <w:rPr>
          <w:b w:val="1"/>
          <w:color w:val="1F3864"/>
          <w:sz w:val="26"/>
          <w:szCs w:val="26"/>
          <w:shd w:val="clear"/>
          <w:rFonts w:ascii="Malgun Gothic" w:eastAsia="Malgun Gothic" w:hAnsi="Malgun Gothic" w:cs="Malgun Gothic"/>
        </w:rPr>
        <w:t xml:space="preserve">4. 고객이 겪는 문제와 해결방안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문제 ① 온라인 간식 구매는 검색과 결제뿐, 구매 과정의 재미가 없다 → 번호 선택과 직접 당겨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개봉하는 화면 경험으로 구매 과정을 콘텐츠화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문제 ② 대용량 위주 판매로 다양한 간식을 조금씩 경험하기 어렵다 → 소분 판매로 여러 상품을 부담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없이 체험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문제 ③ 랜덤 상품 구매는 원하지 않는 상품을 받을 위험이 있다 → 원하지 않는 상품은 운영정책에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따라 내부 포인트로 전환 가능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문제 ④ 소액 상품을 여러 번 주문하면 배송비 부담이 크다 → 개인 보관함에 상품을 모아 한 번에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합배송, 동일 상품은 수량으로 합산 관리</w:t>
      </w:r>
    </w:p>
    <w:p>
      <w:pPr>
        <w:pStyle w:val="PO151"/>
        <w:spacing w:before="320" w:after="180"/>
        <w:rPr>
          <w:shd w:val="clear"/>
        </w:rPr>
      </w:pPr>
      <w:r>
        <w:rPr>
          <w:b w:val="1"/>
          <w:color w:val="1F3864"/>
          <w:sz w:val="26"/>
          <w:szCs w:val="26"/>
          <w:shd w:val="clear"/>
          <w:rFonts w:ascii="Malgun Gothic" w:eastAsia="Malgun Gothic" w:hAnsi="Malgun Gothic" w:cs="Malgun Gothic"/>
        </w:rPr>
        <w:t xml:space="preserve">5. 핵심 차별성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간식 소분 판매와 온라인 쿠지를 결합한 사업 — 고객이 원하는 쿠지 번호를 직접 선택하고, 단순 버튼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클릭이 아닌 직접 당겨 개봉하는 화면 경험을 제공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당첨 결과가 실제 배송받을 수 있는 실물 간식으로 제공되며, 여러 상품을 개인 보관함에 모아 합배송해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배송 효율을 높일 수 있음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원하지 않는 상품은 내부 포인트로 전환할 수 있어 랜덤 구매의 부담을 낮추고, 라스트원 상품으로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쿠지판 완판 동기를 제공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계절과 유행에 따라 상품구성을 빠르게 변경할 수 있고, 고객 반응과 판매데이터를 자체 제조상품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개발에 활용 가능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대표자가 웹서비스를 직접 개발해 외주 의존 없이 빠른 기능 개선이 가능하며, 향후 자체 브랜드 제품을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쿠지에 적용할 수 있음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소분 봉투 1개에는 반드시 한 종류의 간식만 담는 단일 품목 소분 원칙을 준수 — 여러 품목을 혼합할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경우 제조업에 해당하므로, 관련 법규를 준수하는 범위에서 소분 판매를 운영</w:t>
      </w:r>
    </w:p>
    <w:p>
      <w:pPr>
        <w:pStyle w:val="PO151"/>
        <w:spacing w:before="320" w:after="180"/>
        <w:rPr>
          <w:shd w:val="clear"/>
        </w:rPr>
      </w:pPr>
      <w:r>
        <w:rPr>
          <w:b w:val="1"/>
          <w:color w:val="1F3864"/>
          <w:sz w:val="26"/>
          <w:szCs w:val="26"/>
          <w:shd w:val="clear"/>
          <w:rFonts w:ascii="Malgun Gothic" w:eastAsia="Malgun Gothic" w:hAnsi="Malgun Gothic" w:cs="Malgun Gothic"/>
        </w:rPr>
        <w:t xml:space="preserve">6. 주요 타깃 고객</w:t>
      </w:r>
    </w:p>
    <w:p>
      <w:pPr>
        <w:pStyle w:val="PO152"/>
        <w:spacing w:before="220" w:after="120"/>
        <w:rPr>
          <w:shd w:val="clear"/>
        </w:rPr>
      </w:pPr>
      <w:r>
        <w:rPr>
          <w:b w:val="1"/>
          <w:color w:val="2E5395"/>
          <w:sz w:val="22"/>
          <w:szCs w:val="22"/>
          <w:shd w:val="clear"/>
          <w:rFonts w:ascii="Malgun Gothic" w:eastAsia="Malgun Gothic" w:hAnsi="Malgun Gothic" w:cs="Malgun Gothic"/>
        </w:rPr>
        <w:t xml:space="preserve">초기 핵심 고객 (소분 판매 단계)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다양한 간식을 조금씩 경험하고 싶은 소비자, 신상품과 이색 간식을 좋아하는 고객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쿠지·랜덤박스·개봉 콘텐츠에 익숙한 10대 후반~30대, 단순 구매보다 재미와 참여를 중시하는 고객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간식 개봉 결과를 SNS에 공유하는 고객, 상품을 모아 합배송받고 싶은 고객, 모바일 중심으로 쇼핑하는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>고객</w:t>
      </w:r>
    </w:p>
    <w:p>
      <w:pPr>
        <w:pStyle w:val="PO152"/>
        <w:spacing w:before="220" w:after="120"/>
        <w:rPr>
          <w:shd w:val="clear"/>
        </w:rPr>
      </w:pPr>
      <w:r>
        <w:rPr>
          <w:b w:val="1"/>
          <w:color w:val="2E5395"/>
          <w:sz w:val="22"/>
          <w:szCs w:val="22"/>
          <w:shd w:val="clear"/>
          <w:rFonts w:ascii="Malgun Gothic" w:eastAsia="Malgun Gothic" w:hAnsi="Malgun Gothic" w:cs="Malgun Gothic"/>
        </w:rPr>
        <w:t xml:space="preserve">확장 고객 (제조업 확장 이후)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가족 단위 간식 구매자, 학생·직장인 간식 수요, 선물용 간식 구매자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기업과 단체의 행사·복지 간식 수요, 자체 브랜드 간식을 구매하는 일반 소비자, 지역 특산물과 새로운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식품 브랜드에 관심 있는 고객</w:t>
      </w:r>
    </w:p>
    <w:p>
      <w:pPr>
        <w:pStyle w:val="PO151"/>
        <w:spacing w:before="320" w:after="180"/>
        <w:rPr>
          <w:shd w:val="clear"/>
        </w:rPr>
      </w:pPr>
      <w:r>
        <w:rPr>
          <w:b w:val="1"/>
          <w:color w:val="1F3864"/>
          <w:sz w:val="26"/>
          <w:szCs w:val="26"/>
          <w:shd w:val="clear"/>
          <w:rFonts w:ascii="Malgun Gothic" w:eastAsia="Malgun Gothic" w:hAnsi="Malgun Gothic" w:cs="Malgun Gothic"/>
        </w:rPr>
        <w:t xml:space="preserve">7. 시장성과 사업성</w:t>
      </w:r>
    </w:p>
    <w:p>
      <w:pPr>
        <w:jc w:val="both"/>
        <w:spacing w:lineRule="auto" w:line="300" w:after="16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간식은 일회성 제품보다 반복구매 가능성이 높은 상품군이다. 소분 판매는 다양한 상품을 비교적 적은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부담으로 경험하게 하고, 쿠지판의 상품과 테마를 변경하면 새로운 콘텐츠를 반복적으로 제공할 수 있다.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개봉 경험과 당첨 결과는 SNS 콘텐츠로 활용할 수 있으며, 보관함과 합배송 구조는 고객 재방문을 유도한다.</w:t>
      </w:r>
    </w:p>
    <w:p>
      <w:pPr>
        <w:jc w:val="both"/>
        <w:spacing w:lineRule="auto" w:line="300" w:after="16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본 사업의 사업성은 단계적 위험 관리 구조에 있다. 소분 단계에서 실제 구매데이터로 시장을 검증한 뒤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제조로 확장하므로, 검증되지 않은 상품에 대규모 투자를 하는 위험을 피할 수 있다. 자체 제조가 시작되면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상품기획과 브랜드 차별화가 가능해지고, 자체 제품 비중이 높아질수록 원가와 수익구조를 개선할 가능성이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있다. 또한 쿠지 판매와 일반 제품 판매를 함께 운영할 수 있어 판매 채널이 하나에 묶이지 않는다.</w:t>
      </w:r>
    </w:p>
    <w:p>
      <w:pPr>
        <w:pStyle w:val="PO152"/>
        <w:spacing w:before="220" w:after="120"/>
        <w:rPr>
          <w:shd w:val="clear"/>
        </w:rPr>
      </w:pPr>
      <w:r>
        <w:rPr>
          <w:b w:val="1"/>
          <w:color w:val="2E5395"/>
          <w:sz w:val="22"/>
          <w:szCs w:val="22"/>
          <w:shd w:val="clear"/>
          <w:rFonts w:ascii="Malgun Gothic" w:eastAsia="Malgun Gothic" w:hAnsi="Malgun Gothic" w:cs="Malgun Gothic"/>
        </w:rPr>
        <w:t xml:space="preserve">성장 흐름</w:t>
      </w:r>
    </w:p>
    <w:p>
      <w:pPr>
        <w:jc w:val="both"/>
        <w:spacing w:lineRule="auto" w:line="300" w:after="160"/>
        <w:rPr>
          <w:shd w:val="clear"/>
        </w:rPr>
      </w:pPr>
      <w:r>
        <w:rPr>
          <w:b w:val="1"/>
          <w:sz w:val="20"/>
          <w:szCs w:val="20"/>
          <w:shd w:val="clear"/>
          <w:rFonts w:ascii="Malgun Gothic" w:eastAsia="Malgun Gothic" w:hAnsi="Malgun Gothic" w:cs="Malgun Gothic"/>
        </w:rPr>
        <w:t xml:space="preserve">소분 판매 시작 → 간식쿠지 고객 확보 → 상품 선호 데이터 축적 → 인기 상품 분석 → 자체 상품 기획 → </w:t>
      </w:r>
      <w:r>
        <w:rPr>
          <w:b w:val="1"/>
          <w:sz w:val="20"/>
          <w:szCs w:val="20"/>
          <w:shd w:val="clear"/>
          <w:rFonts w:ascii="Malgun Gothic" w:eastAsia="Malgun Gothic" w:hAnsi="Malgun Gothic" w:cs="Malgun Gothic"/>
        </w:rPr>
        <w:t xml:space="preserve">시험 생산 및 고객검증 → 자체 제조상품 출시 → 브랜드와 유통망 확대</w:t>
      </w:r>
    </w:p>
    <w:p>
      <w:pPr>
        <w:pStyle w:val="PO151"/>
        <w:spacing w:before="320" w:after="180"/>
        <w:rPr>
          <w:shd w:val="clear"/>
        </w:rPr>
      </w:pPr>
      <w:r>
        <w:rPr>
          <w:b w:val="1"/>
          <w:color w:val="1F3864"/>
          <w:sz w:val="26"/>
          <w:szCs w:val="26"/>
          <w:shd w:val="clear"/>
          <w:rFonts w:ascii="Malgun Gothic" w:eastAsia="Malgun Gothic" w:hAnsi="Malgun Gothic" w:cs="Malgun Gothic"/>
        </w:rPr>
        <w:t xml:space="preserve">8. 수익구조</w:t>
      </w:r>
    </w:p>
    <w:p>
      <w:pPr>
        <w:pStyle w:val="PO152"/>
        <w:spacing w:before="220" w:after="120"/>
        <w:rPr>
          <w:shd w:val="clear"/>
        </w:rPr>
      </w:pPr>
      <w:r>
        <w:rPr>
          <w:b w:val="1"/>
          <w:color w:val="2E5395"/>
          <w:sz w:val="22"/>
          <w:szCs w:val="22"/>
          <w:shd w:val="clear"/>
          <w:rFonts w:ascii="Malgun Gothic" w:eastAsia="Malgun Gothic" w:hAnsi="Malgun Gothic" w:cs="Malgun Gothic"/>
        </w:rPr>
        <w:t xml:space="preserve">초기 핵심 수익 (소분 판매 단계)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소분 간식쿠지 판매 (1회 5,000원, 쿠지판 100~300개 규모) 및 테마형·시즌형·프리미엄 쿠지 판매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네이버 스마트스토어를 통한 일반 소분 간식 판매 (판매가 5,900원 기준) — 쿠지와 일반 판매를 병행해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안정적 매출 기반 확보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보관함·합배송 운영을 통한 반복구매 유도 — 쿠지 상품 구성은 일반 판매가를 기준으로 손실이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발생하지 않는 구조로 설계</w:t>
      </w:r>
    </w:p>
    <w:p>
      <w:pPr>
        <w:pStyle w:val="PO152"/>
        <w:spacing w:before="220" w:after="120"/>
        <w:rPr>
          <w:shd w:val="clear"/>
        </w:rPr>
      </w:pPr>
      <w:r>
        <w:rPr>
          <w:b w:val="1"/>
          <w:color w:val="2E5395"/>
          <w:sz w:val="22"/>
          <w:szCs w:val="22"/>
          <w:shd w:val="clear"/>
          <w:rFonts w:ascii="Malgun Gothic" w:eastAsia="Malgun Gothic" w:hAnsi="Malgun Gothic" w:cs="Malgun Gothic"/>
        </w:rPr>
        <w:t xml:space="preserve">중기 수익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기업·단체용 간식쿠지, 기념일·행사용 맞춤 쿠지, 지역상품 및 중소 브랜드 협업, 신상품 체험형·브랜드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홍보형 쿠지</w:t>
      </w:r>
    </w:p>
    <w:p>
      <w:pPr>
        <w:pStyle w:val="PO152"/>
        <w:spacing w:before="220" w:after="120"/>
        <w:rPr>
          <w:shd w:val="clear"/>
        </w:rPr>
      </w:pPr>
      <w:r>
        <w:rPr>
          <w:b w:val="1"/>
          <w:color w:val="2E5395"/>
          <w:sz w:val="22"/>
          <w:szCs w:val="22"/>
          <w:shd w:val="clear"/>
          <w:rFonts w:ascii="Malgun Gothic" w:eastAsia="Malgun Gothic" w:hAnsi="Malgun Gothic" w:cs="Malgun Gothic"/>
        </w:rPr>
        <w:t xml:space="preserve">장기 수익 (제조 확장 이후)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자체 브랜드 간식 판매와 자체 제조상품 중심의 간식쿠지, 온라인 자사몰 판매, 기업·단체 납품, 도소매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>유통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지역·관광 연계 상품, 선물세트·정기구독, 오프라인 판매처 확대</w:t>
      </w:r>
    </w:p>
    <w:p>
      <w:pPr>
        <w:jc w:val="both"/>
        <w:spacing w:lineRule="auto" w:line="300" w:after="16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초기 소분 판매에서 확보한 고객과 판매데이터는 자체 제조상품의 기획 근거가 된다. 어떤 맛과 가격대가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실제로 팔리는지 검증된 상태에서 제조를 시작하므로, 신제품 실패 가능성을 낮추는 구조다.</w:t>
      </w:r>
    </w:p>
    <w:p>
      <w:pPr>
        <w:pStyle w:val="PO151"/>
        <w:spacing w:before="320" w:after="180"/>
        <w:rPr>
          <w:shd w:val="clear"/>
        </w:rPr>
      </w:pPr>
      <w:r>
        <w:rPr>
          <w:b w:val="1"/>
          <w:color w:val="1F3864"/>
          <w:sz w:val="26"/>
          <w:szCs w:val="26"/>
          <w:shd w:val="clear"/>
          <w:rFonts w:ascii="Malgun Gothic" w:eastAsia="Malgun Gothic" w:hAnsi="Malgun Gothic" w:cs="Malgun Gothic"/>
        </w:rPr>
        <w:t xml:space="preserve">9. 현재 보유자산과 필요한 자산</w:t>
      </w:r>
    </w:p>
    <w:p>
      <w:pPr>
        <w:jc w:val="both"/>
        <w:spacing w:lineRule="auto" w:line="300" w:after="16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대표자가 직접 개발한 웹서비스와 운영 기획자료가 현재의 핵심 자산이다. 웹서비스는 쿠지판 운영, 번호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선택, 개봉 애니메이션, 회원·상품·재고 관리, 관리자 페이지, 포인트·이용권, 당첨상품 보관함, 배송 신청 구조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등 핵심 기능 개발이 완료됐으며, PG 결제 연동과 디자인 마무리만 남은 상태다.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9638" w:type="dxa"/>
        <w:tblLook w:val="000000" w:firstRow="0" w:lastRow="0" w:firstColumn="0" w:lastColumn="0" w:noHBand="0" w:noVBand="0"/>
        <w:tblLayout w:type="fixed"/>
      </w:tblPr>
      <w:tblGrid>
        <w:gridCol w:w="2250"/>
        <w:gridCol w:w="1050"/>
        <w:gridCol w:w="2700"/>
        <w:gridCol w:w="1500"/>
        <w:gridCol w:w="2138"/>
      </w:tblGrid>
      <w:tr>
        <w:trPr>
          <w:tblHeader/>
          <w:hidden w:val="0"/>
        </w:trPr>
        <w:tc>
          <w:tcPr>
            <w:tcW w:type="dxa" w:w="22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  <w:shd w:val="clear" w:fill="D9E2F3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1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자산명</w:t>
            </w:r>
          </w:p>
        </w:tc>
        <w:tc>
          <w:tcPr>
            <w:tcW w:type="dxa" w:w="10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  <w:shd w:val="clear" w:fill="D9E2F3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1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보유 여부</w:t>
            </w:r>
          </w:p>
        </w:tc>
        <w:tc>
          <w:tcPr>
            <w:tcW w:type="dxa" w:w="27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  <w:shd w:val="clear" w:fill="D9E2F3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1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사업 활용 목적</w:t>
            </w:r>
          </w:p>
        </w:tc>
        <w:tc>
          <w:tcPr>
            <w:tcW w:type="dxa" w:w="15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  <w:shd w:val="clear" w:fill="D9E2F3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1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확보 시기</w:t>
            </w:r>
          </w:p>
        </w:tc>
        <w:tc>
          <w:tcPr>
            <w:tcW w:type="dxa" w:w="21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  <w:shd w:val="clear" w:fill="D9E2F3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1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추가 확보 필요사항</w:t>
            </w:r>
          </w:p>
        </w:tc>
      </w:tr>
      <w:tr>
        <w:trPr>
          <w:hidden w:val="0"/>
        </w:trPr>
        <w:tc>
          <w:tcPr>
            <w:tcW w:type="dxa" w:w="22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사업 아이디어·운영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기획자료</w:t>
            </w:r>
          </w:p>
        </w:tc>
        <w:tc>
          <w:tcPr>
            <w:tcW w:type="dxa" w:w="10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보유</w:t>
            </w:r>
          </w:p>
        </w:tc>
        <w:tc>
          <w:tcPr>
            <w:tcW w:type="dxa" w:w="27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간식쿠지 사업모델 및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운영정책 수립</w:t>
            </w:r>
          </w:p>
        </w:tc>
        <w:tc>
          <w:tcPr>
            <w:tcW w:type="dxa" w:w="15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확보 완료</w:t>
            </w:r>
          </w:p>
        </w:tc>
        <w:tc>
          <w:tcPr>
            <w:tcW w:type="dxa" w:w="21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-</w:t>
            </w:r>
          </w:p>
        </w:tc>
      </w:tr>
      <w:tr>
        <w:trPr>
          <w:hidden w:val="0"/>
        </w:trPr>
        <w:tc>
          <w:tcPr>
            <w:tcW w:type="dxa" w:w="22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웹서비스(사이트·모바일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반응형)</w:t>
            </w:r>
          </w:p>
        </w:tc>
        <w:tc>
          <w:tcPr>
            <w:tcW w:type="dxa" w:w="10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보유(개발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중)</w:t>
            </w:r>
          </w:p>
        </w:tc>
        <w:tc>
          <w:tcPr>
            <w:tcW w:type="dxa" w:w="27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쿠지판 운영, 번호 선택, 개봉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화면, 회원·상품·재고 관리,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보관함·배송 신청</w:t>
            </w:r>
          </w:p>
        </w:tc>
        <w:tc>
          <w:tcPr>
            <w:tcW w:type="dxa" w:w="15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핵심기능 개발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완료</w:t>
            </w:r>
          </w:p>
        </w:tc>
        <w:tc>
          <w:tcPr>
            <w:tcW w:type="dxa" w:w="21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PG 결제 연동, 디자인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마무리, 베타테스트 후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오류 수정</w:t>
            </w:r>
          </w:p>
        </w:tc>
      </w:tr>
      <w:tr>
        <w:trPr>
          <w:hidden w:val="0"/>
        </w:trPr>
        <w:tc>
          <w:tcPr>
            <w:tcW w:type="dxa" w:w="22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관리자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페이지·소스코드·DB</w:t>
            </w:r>
          </w:p>
        </w:tc>
        <w:tc>
          <w:tcPr>
            <w:tcW w:type="dxa" w:w="10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보유</w:t>
            </w:r>
          </w:p>
        </w:tc>
        <w:tc>
          <w:tcPr>
            <w:tcW w:type="dxa" w:w="27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상품 등록, 재고·주문·회원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관리, 기능 개선</w:t>
            </w:r>
          </w:p>
        </w:tc>
        <w:tc>
          <w:tcPr>
            <w:tcW w:type="dxa" w:w="15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확보 완료</w:t>
            </w:r>
          </w:p>
        </w:tc>
        <w:tc>
          <w:tcPr>
            <w:tcW w:type="dxa" w:w="21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운영 중 지속 개선</w:t>
            </w:r>
          </w:p>
        </w:tc>
      </w:tr>
      <w:tr>
        <w:trPr>
          <w:hidden w:val="0"/>
        </w:trPr>
        <w:tc>
          <w:tcPr>
            <w:tcW w:type="dxa" w:w="22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포인트·이용권·보관함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구조</w:t>
            </w:r>
          </w:p>
        </w:tc>
        <w:tc>
          <w:tcPr>
            <w:tcW w:type="dxa" w:w="10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보유</w:t>
            </w:r>
          </w:p>
        </w:tc>
        <w:tc>
          <w:tcPr>
            <w:tcW w:type="dxa" w:w="27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결제, 당첨상품 보관, 합배송,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포인트 전환 운영</w:t>
            </w:r>
          </w:p>
        </w:tc>
        <w:tc>
          <w:tcPr>
            <w:tcW w:type="dxa" w:w="15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확보 완료</w:t>
            </w:r>
          </w:p>
        </w:tc>
        <w:tc>
          <w:tcPr>
            <w:tcW w:type="dxa" w:w="21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결제시스템 연동 후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실운영 검증</w:t>
            </w:r>
          </w:p>
        </w:tc>
      </w:tr>
      <w:tr>
        <w:trPr>
          <w:hidden w:val="0"/>
        </w:trPr>
        <w:tc>
          <w:tcPr>
            <w:tcW w:type="dxa" w:w="22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작업공간(상가)</w:t>
            </w:r>
          </w:p>
        </w:tc>
        <w:tc>
          <w:tcPr>
            <w:tcW w:type="dxa" w:w="10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미보유</w:t>
            </w:r>
          </w:p>
        </w:tc>
        <w:tc>
          <w:tcPr>
            <w:tcW w:type="dxa" w:w="27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간식 소분·포장·보관 작업장</w:t>
            </w:r>
          </w:p>
        </w:tc>
        <w:tc>
          <w:tcPr>
            <w:tcW w:type="dxa" w:w="15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자금 확보 후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계약</w:t>
            </w:r>
          </w:p>
        </w:tc>
        <w:tc>
          <w:tcPr>
            <w:tcW w:type="dxa" w:w="21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소분업 가능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근린생활시설 물색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완료, 임대차 계약 필요</w:t>
            </w:r>
          </w:p>
        </w:tc>
      </w:tr>
      <w:tr>
        <w:trPr>
          <w:hidden w:val="0"/>
        </w:trPr>
        <w:tc>
          <w:tcPr>
            <w:tcW w:type="dxa" w:w="22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소분·포장 장비 및 환경</w:t>
            </w:r>
          </w:p>
        </w:tc>
        <w:tc>
          <w:tcPr>
            <w:tcW w:type="dxa" w:w="10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미보유</w:t>
            </w:r>
          </w:p>
        </w:tc>
        <w:tc>
          <w:tcPr>
            <w:tcW w:type="dxa" w:w="27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위생적 소분·포장·보관</w:t>
            </w:r>
          </w:p>
        </w:tc>
        <w:tc>
          <w:tcPr>
            <w:tcW w:type="dxa" w:w="15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상가 계약 후</w:t>
            </w:r>
          </w:p>
        </w:tc>
        <w:tc>
          <w:tcPr>
            <w:tcW w:type="dxa" w:w="21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소분 봉투, 라벨, 제습기,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보관설비 등 구입</w:t>
            </w:r>
          </w:p>
        </w:tc>
      </w:tr>
      <w:tr>
        <w:trPr>
          <w:hidden w:val="0"/>
        </w:trPr>
        <w:tc>
          <w:tcPr>
            <w:tcW w:type="dxa" w:w="22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영업신고(소분 관련)</w:t>
            </w:r>
          </w:p>
        </w:tc>
        <w:tc>
          <w:tcPr>
            <w:tcW w:type="dxa" w:w="10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준비 중</w:t>
            </w:r>
          </w:p>
        </w:tc>
        <w:tc>
          <w:tcPr>
            <w:tcW w:type="dxa" w:w="27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적법한 소분·판매 영업</w:t>
            </w:r>
          </w:p>
        </w:tc>
        <w:tc>
          <w:tcPr>
            <w:tcW w:type="dxa" w:w="15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교육 이수 후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신고</w:t>
            </w:r>
          </w:p>
        </w:tc>
        <w:tc>
          <w:tcPr>
            <w:tcW w:type="dxa" w:w="21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2026년 8월 관련 교육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수강 예정, 이후 신고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접수</w:t>
            </w:r>
          </w:p>
        </w:tc>
      </w:tr>
      <w:tr>
        <w:trPr>
          <w:hidden w:val="0"/>
        </w:trPr>
        <w:tc>
          <w:tcPr>
            <w:tcW w:type="dxa" w:w="22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상품 공급처</w:t>
            </w:r>
          </w:p>
        </w:tc>
        <w:tc>
          <w:tcPr>
            <w:tcW w:type="dxa" w:w="10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조사 완료</w:t>
            </w:r>
          </w:p>
        </w:tc>
        <w:tc>
          <w:tcPr>
            <w:tcW w:type="dxa" w:w="27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간식 상품 매입</w:t>
            </w:r>
          </w:p>
        </w:tc>
        <w:tc>
          <w:tcPr>
            <w:tcW w:type="dxa" w:w="15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작업환경 구성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후 계약</w:t>
            </w:r>
          </w:p>
        </w:tc>
        <w:tc>
          <w:tcPr>
            <w:tcW w:type="dxa" w:w="21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공급처 후보 조사 완료,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계약 체결 필요</w:t>
            </w:r>
          </w:p>
        </w:tc>
      </w:tr>
      <w:tr>
        <w:trPr>
          <w:hidden w:val="0"/>
        </w:trPr>
        <w:tc>
          <w:tcPr>
            <w:tcW w:type="dxa" w:w="22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초도 상품재고</w:t>
            </w:r>
          </w:p>
        </w:tc>
        <w:tc>
          <w:tcPr>
            <w:tcW w:type="dxa" w:w="10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미보유</w:t>
            </w:r>
          </w:p>
        </w:tc>
        <w:tc>
          <w:tcPr>
            <w:tcW w:type="dxa" w:w="27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쿠지판 구성 및 일반 판매</w:t>
            </w:r>
          </w:p>
        </w:tc>
        <w:tc>
          <w:tcPr>
            <w:tcW w:type="dxa" w:w="15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공급계약 후</w:t>
            </w:r>
          </w:p>
        </w:tc>
        <w:tc>
          <w:tcPr>
            <w:tcW w:type="dxa" w:w="21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초도 매입 자금 필요</w:t>
            </w:r>
          </w:p>
        </w:tc>
      </w:tr>
      <w:tr>
        <w:trPr>
          <w:hidden w:val="0"/>
        </w:trPr>
        <w:tc>
          <w:tcPr>
            <w:tcW w:type="dxa" w:w="22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PG 결제·택배 계약</w:t>
            </w:r>
          </w:p>
        </w:tc>
        <w:tc>
          <w:tcPr>
            <w:tcW w:type="dxa" w:w="10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미보유</w:t>
            </w:r>
          </w:p>
        </w:tc>
        <w:tc>
          <w:tcPr>
            <w:tcW w:type="dxa" w:w="27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온라인 결제 및 배송 운영</w:t>
            </w:r>
          </w:p>
        </w:tc>
        <w:tc>
          <w:tcPr>
            <w:tcW w:type="dxa" w:w="15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베타테스트 전</w:t>
            </w:r>
          </w:p>
        </w:tc>
        <w:tc>
          <w:tcPr>
            <w:tcW w:type="dxa" w:w="21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PG사 연동, 택배사 계약</w:t>
            </w:r>
          </w:p>
        </w:tc>
      </w:tr>
      <w:tr>
        <w:trPr>
          <w:hidden w:val="0"/>
        </w:trPr>
        <w:tc>
          <w:tcPr>
            <w:tcW w:type="dxa" w:w="22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상품 촬영자료·홍보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콘텐츠</w:t>
            </w:r>
          </w:p>
        </w:tc>
        <w:tc>
          <w:tcPr>
            <w:tcW w:type="dxa" w:w="10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미보유</w:t>
            </w:r>
          </w:p>
        </w:tc>
        <w:tc>
          <w:tcPr>
            <w:tcW w:type="dxa" w:w="27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상품 페이지, SNS 마케팅</w:t>
            </w:r>
          </w:p>
        </w:tc>
        <w:tc>
          <w:tcPr>
            <w:tcW w:type="dxa" w:w="15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재고 확보 후</w:t>
            </w:r>
          </w:p>
        </w:tc>
        <w:tc>
          <w:tcPr>
            <w:tcW w:type="dxa" w:w="21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촬영 및 콘텐츠 제작</w:t>
            </w:r>
          </w:p>
        </w:tc>
      </w:tr>
      <w:tr>
        <w:trPr>
          <w:hidden w:val="0"/>
        </w:trPr>
        <w:tc>
          <w:tcPr>
            <w:tcW w:type="dxa" w:w="22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운영예비금</w:t>
            </w:r>
          </w:p>
        </w:tc>
        <w:tc>
          <w:tcPr>
            <w:tcW w:type="dxa" w:w="10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미보유</w:t>
            </w:r>
          </w:p>
        </w:tc>
        <w:tc>
          <w:tcPr>
            <w:tcW w:type="dxa" w:w="27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환불·배송문제 대응</w:t>
            </w:r>
          </w:p>
        </w:tc>
        <w:tc>
          <w:tcPr>
            <w:tcW w:type="dxa" w:w="15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개업 전 편성</w:t>
            </w:r>
          </w:p>
        </w:tc>
        <w:tc>
          <w:tcPr>
            <w:tcW w:type="dxa" w:w="21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초기 자금 내 배정</w:t>
            </w:r>
          </w:p>
        </w:tc>
      </w:tr>
      <w:tr>
        <w:trPr>
          <w:hidden w:val="0"/>
        </w:trPr>
        <w:tc>
          <w:tcPr>
            <w:tcW w:type="dxa" w:w="22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제조·가공시설, 제조설비</w:t>
            </w:r>
          </w:p>
        </w:tc>
        <w:tc>
          <w:tcPr>
            <w:tcW w:type="dxa" w:w="10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미보유(중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장기)</w:t>
            </w:r>
          </w:p>
        </w:tc>
        <w:tc>
          <w:tcPr>
            <w:tcW w:type="dxa" w:w="27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자체 간식 제조</w:t>
            </w:r>
          </w:p>
        </w:tc>
        <w:tc>
          <w:tcPr>
            <w:tcW w:type="dxa" w:w="15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창업 후 2~3년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차 목표</w:t>
            </w:r>
          </w:p>
        </w:tc>
        <w:tc>
          <w:tcPr>
            <w:tcW w:type="dxa" w:w="21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시설·설비 투자, 관련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인허가, 품질관리 체계</w:t>
            </w:r>
          </w:p>
        </w:tc>
      </w:tr>
      <w:tr>
        <w:trPr>
          <w:hidden w:val="0"/>
        </w:trPr>
        <w:tc>
          <w:tcPr>
            <w:tcW w:type="dxa" w:w="22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제품 레시피·자체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브랜드·상표</w:t>
            </w:r>
          </w:p>
        </w:tc>
        <w:tc>
          <w:tcPr>
            <w:tcW w:type="dxa" w:w="10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미보유(중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장기)</w:t>
            </w:r>
          </w:p>
        </w:tc>
        <w:tc>
          <w:tcPr>
            <w:tcW w:type="dxa" w:w="27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자체 제조상품 개발·판매</w:t>
            </w:r>
          </w:p>
        </w:tc>
        <w:tc>
          <w:tcPr>
            <w:tcW w:type="dxa" w:w="15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제조 준비 단계</w:t>
            </w:r>
          </w:p>
        </w:tc>
        <w:tc>
          <w:tcPr>
            <w:tcW w:type="dxa" w:w="21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판매데이터 기반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상품기획,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브랜드·패키지 개발,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상표 출원</w:t>
            </w:r>
          </w:p>
        </w:tc>
      </w:tr>
    </w:tbl>
    <w:p>
      <w:pPr>
        <w:jc w:val="both"/>
        <w:spacing w:lineRule="auto" w:line="300" w:after="60"/>
        <w:rPr>
          <w:shd w:val="clear"/>
        </w:rPr>
      </w:pPr>
    </w:p>
    <w:p>
      <w:pPr>
        <w:pStyle w:val="PO151"/>
        <w:spacing w:before="320" w:after="180"/>
        <w:rPr>
          <w:shd w:val="clear"/>
        </w:rPr>
      </w:pPr>
      <w:r>
        <w:rPr>
          <w:b w:val="1"/>
          <w:color w:val="1F3864"/>
          <w:sz w:val="26"/>
          <w:szCs w:val="26"/>
          <w:shd w:val="clear"/>
          <w:rFonts w:ascii="Malgun Gothic" w:eastAsia="Malgun Gothic" w:hAnsi="Malgun Gothic" w:cs="Malgun Gothic"/>
        </w:rPr>
        <w:t xml:space="preserve">10. 소분업 기반 초기 운영계획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영업신고 준비: 소분·판매 영업에 필요한 교육을 2026년 8월 중 수강 예정이며(8월 첫째 주 교육 일정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확정), 교육 이수 후 관할 기관에 영업신고를 접수한다.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작업공간 확보: 소분업이 가능한 근린생활시설 상가를 물색 완료했으며, 자금 확보 후 임대차 계약을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>체결한다.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작업환경 구성: 상가 계약 후 소분 봉투, 라벨, 제습기, 포장·보관 설비 등 위생적 소분 환경을 구축한다.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상품 공급: 공급처 조사를 완료한 상태로, 작업환경 구성에 맞춰 공급계약과 초도 상품 매입을 진행한다.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운영 원칙: 소분 봉투 1개에는 한 종류의 간식만 담는 단일 품목 소분 원칙을 준수해 관련 법규를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지킨다. 간식은 특정 품목에 한정하지 않고 다양한 종류를 취급한다.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서비스 오픈: PG 연동과 디자인 완료 후 베타테스트를 진행하고, 이 시점부터 초기 매출이 발생한다.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베타테스트에서 확인된 오류를 수정한 뒤 정식 운영으로 전환한다.</w:t>
      </w:r>
    </w:p>
    <w:p>
      <w:pPr>
        <w:pStyle w:val="PO152"/>
        <w:spacing w:before="220" w:after="120"/>
        <w:rPr>
          <w:shd w:val="clear"/>
        </w:rPr>
      </w:pPr>
      <w:r>
        <w:rPr>
          <w:b w:val="1"/>
          <w:color w:val="2E5395"/>
          <w:sz w:val="22"/>
          <w:szCs w:val="22"/>
          <w:shd w:val="clear"/>
          <w:rFonts w:ascii="Malgun Gothic" w:eastAsia="Malgun Gothic" w:hAnsi="Malgun Gothic" w:cs="Malgun Gothic"/>
        </w:rPr>
        <w:t xml:space="preserve">초기 필요자금 계획 (약 3,000만 원)</w:t>
      </w:r>
    </w:p>
    <w:p>
      <w:pPr>
        <w:jc w:val="both"/>
        <w:spacing w:lineRule="auto" w:line="300" w:after="12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초기 필요자금은 약 3,000만 원 규모로 계획하며, 항목별 배분은 다음과 같다. 임차 조건은 물색 중인 상권의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일반적 수준(보증금 500만 원, 월세 40만 원)을 기준으로 산정했으며, 실제 임대차 계약 조건 확정 후 세부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금액을 조정한다.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9638" w:type="dxa"/>
        <w:tblLook w:val="000000" w:firstRow="0" w:lastRow="0" w:firstColumn="0" w:lastColumn="0" w:noHBand="0" w:noVBand="0"/>
        <w:tblLayout w:type="fixed"/>
      </w:tblPr>
      <w:tblGrid>
        <w:gridCol w:w="2100"/>
        <w:gridCol w:w="1150"/>
        <w:gridCol w:w="950"/>
        <w:gridCol w:w="5438"/>
      </w:tblGrid>
      <w:tr>
        <w:trPr>
          <w:tblHeader/>
          <w:hidden w:val="0"/>
        </w:trPr>
        <w:tc>
          <w:tcPr>
            <w:tcW w:type="dxa" w:w="21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  <w:shd w:val="clear" w:fill="D9E2F3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1"/>
                <w:sz w:val="19"/>
                <w:szCs w:val="19"/>
                <w:shd w:val="clear"/>
                <w:rFonts w:ascii="Malgun Gothic" w:eastAsia="Malgun Gothic" w:hAnsi="Malgun Gothic" w:cs="Malgun Gothic"/>
              </w:rPr>
              <w:t>항목</w:t>
            </w:r>
          </w:p>
        </w:tc>
        <w:tc>
          <w:tcPr>
            <w:tcW w:type="dxa" w:w="11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  <w:shd w:val="clear" w:fill="D9E2F3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1"/>
                <w:sz w:val="19"/>
                <w:szCs w:val="19"/>
                <w:shd w:val="clear"/>
                <w:rFonts w:ascii="Malgun Gothic" w:eastAsia="Malgun Gothic" w:hAnsi="Malgun Gothic" w:cs="Malgun Gothic"/>
              </w:rPr>
              <w:t xml:space="preserve">금액(만 원)</w:t>
            </w:r>
          </w:p>
        </w:tc>
        <w:tc>
          <w:tcPr>
            <w:tcW w:type="dxa" w:w="9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  <w:shd w:val="clear" w:fill="D9E2F3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1"/>
                <w:sz w:val="19"/>
                <w:szCs w:val="19"/>
                <w:shd w:val="clear"/>
                <w:rFonts w:ascii="Malgun Gothic" w:eastAsia="Malgun Gothic" w:hAnsi="Malgun Gothic" w:cs="Malgun Gothic"/>
              </w:rPr>
              <w:t>비율</w:t>
            </w:r>
          </w:p>
        </w:tc>
        <w:tc>
          <w:tcPr>
            <w:tcW w:type="dxa" w:w="54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  <w:shd w:val="clear" w:fill="D9E2F3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1"/>
                <w:sz w:val="19"/>
                <w:szCs w:val="19"/>
                <w:shd w:val="clear"/>
                <w:rFonts w:ascii="Malgun Gothic" w:eastAsia="Malgun Gothic" w:hAnsi="Malgun Gothic" w:cs="Malgun Gothic"/>
              </w:rPr>
              <w:t>내용</w:t>
            </w:r>
          </w:p>
        </w:tc>
      </w:tr>
      <w:tr>
        <w:trPr>
          <w:hidden w:val="0"/>
        </w:trPr>
        <w:tc>
          <w:tcPr>
            <w:tcW w:type="dxa" w:w="21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상가 임차 보증금</w:t>
            </w:r>
          </w:p>
        </w:tc>
        <w:tc>
          <w:tcPr>
            <w:tcW w:type="dxa" w:w="11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500</w:t>
            </w:r>
          </w:p>
        </w:tc>
        <w:tc>
          <w:tcPr>
            <w:tcW w:type="dxa" w:w="9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16.7%</w:t>
            </w:r>
          </w:p>
        </w:tc>
        <w:tc>
          <w:tcPr>
            <w:tcW w:type="dxa" w:w="54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소분업이 가능한 근린생활시설 임차 보증금 (보증금 500만 원 /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월세 40만 원 수준 상가 기준)</w:t>
            </w:r>
          </w:p>
        </w:tc>
      </w:tr>
      <w:tr>
        <w:trPr>
          <w:hidden w:val="0"/>
        </w:trPr>
        <w:tc>
          <w:tcPr>
            <w:tcW w:type="dxa" w:w="21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월세 8개월분 선확보</w:t>
            </w:r>
          </w:p>
        </w:tc>
        <w:tc>
          <w:tcPr>
            <w:tcW w:type="dxa" w:w="11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320</w:t>
            </w:r>
          </w:p>
        </w:tc>
        <w:tc>
          <w:tcPr>
            <w:tcW w:type="dxa" w:w="9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10.7%</w:t>
            </w:r>
          </w:p>
        </w:tc>
        <w:tc>
          <w:tcPr>
            <w:tcW w:type="dxa" w:w="54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월세 40만 원 × 8개월 — 개업 초기 매출이 안정화되기 전까지의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임차료를 미리 확보</w:t>
            </w:r>
          </w:p>
        </w:tc>
      </w:tr>
      <w:tr>
        <w:trPr>
          <w:hidden w:val="0"/>
        </w:trPr>
        <w:tc>
          <w:tcPr>
            <w:tcW w:type="dxa" w:w="21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초도 상품재고</w:t>
            </w:r>
          </w:p>
        </w:tc>
        <w:tc>
          <w:tcPr>
            <w:tcW w:type="dxa" w:w="11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800</w:t>
            </w:r>
          </w:p>
        </w:tc>
        <w:tc>
          <w:tcPr>
            <w:tcW w:type="dxa" w:w="9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26.7%</w:t>
            </w:r>
          </w:p>
        </w:tc>
        <w:tc>
          <w:tcPr>
            <w:tcW w:type="dxa" w:w="54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쿠지판 구성 및 일반 소분 판매를 위한 초도 상품 매입</w:t>
            </w:r>
          </w:p>
        </w:tc>
      </w:tr>
      <w:tr>
        <w:trPr>
          <w:hidden w:val="0"/>
        </w:trPr>
        <w:tc>
          <w:tcPr>
            <w:tcW w:type="dxa" w:w="21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작업환경 구성</w:t>
            </w:r>
          </w:p>
        </w:tc>
        <w:tc>
          <w:tcPr>
            <w:tcW w:type="dxa" w:w="11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400</w:t>
            </w:r>
          </w:p>
        </w:tc>
        <w:tc>
          <w:tcPr>
            <w:tcW w:type="dxa" w:w="9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13.3%</w:t>
            </w:r>
          </w:p>
        </w:tc>
        <w:tc>
          <w:tcPr>
            <w:tcW w:type="dxa" w:w="54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소분·포장 장비, 소분 봉투·라벨·포장재, 제습기, 상품 보관설비 등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위생적 소분 환경 구축</w:t>
            </w:r>
          </w:p>
        </w:tc>
      </w:tr>
      <w:tr>
        <w:trPr>
          <w:hidden w:val="0"/>
        </w:trPr>
        <w:tc>
          <w:tcPr>
            <w:tcW w:type="dxa" w:w="21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마케팅 비용</w:t>
            </w:r>
          </w:p>
        </w:tc>
        <w:tc>
          <w:tcPr>
            <w:tcW w:type="dxa" w:w="11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500</w:t>
            </w:r>
          </w:p>
        </w:tc>
        <w:tc>
          <w:tcPr>
            <w:tcW w:type="dxa" w:w="9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16.7%</w:t>
            </w:r>
          </w:p>
        </w:tc>
        <w:tc>
          <w:tcPr>
            <w:tcW w:type="dxa" w:w="54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상품 촬영, SNS 콘텐츠·홍보물 제작, 초기 고객 유치 활동</w:t>
            </w:r>
          </w:p>
        </w:tc>
      </w:tr>
      <w:tr>
        <w:trPr>
          <w:hidden w:val="0"/>
        </w:trPr>
        <w:tc>
          <w:tcPr>
            <w:tcW w:type="dxa" w:w="21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시스템 운영</w:t>
            </w:r>
          </w:p>
        </w:tc>
        <w:tc>
          <w:tcPr>
            <w:tcW w:type="dxa" w:w="11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80</w:t>
            </w:r>
          </w:p>
        </w:tc>
        <w:tc>
          <w:tcPr>
            <w:tcW w:type="dxa" w:w="9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2.7%</w:t>
            </w:r>
          </w:p>
        </w:tc>
        <w:tc>
          <w:tcPr>
            <w:tcW w:type="dxa" w:w="54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PG 결제 연동, 서버 운영 등 (웹서비스 개발은 대표자가 직접 </w:t>
            </w: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수행해 외주 개발비 미발생)</w:t>
            </w:r>
          </w:p>
        </w:tc>
      </w:tr>
      <w:tr>
        <w:trPr>
          <w:hidden w:val="0"/>
        </w:trPr>
        <w:tc>
          <w:tcPr>
            <w:tcW w:type="dxa" w:w="21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운영예비금</w:t>
            </w:r>
          </w:p>
        </w:tc>
        <w:tc>
          <w:tcPr>
            <w:tcW w:type="dxa" w:w="11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400</w:t>
            </w:r>
          </w:p>
        </w:tc>
        <w:tc>
          <w:tcPr>
            <w:tcW w:type="dxa" w:w="9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13.3%</w:t>
            </w:r>
          </w:p>
        </w:tc>
        <w:tc>
          <w:tcPr>
            <w:tcW w:type="dxa" w:w="54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0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 xml:space="preserve">환불·배송문제 대응 및 예상치 못한 지출 대비</w:t>
            </w:r>
          </w:p>
        </w:tc>
      </w:tr>
      <w:tr>
        <w:trPr>
          <w:hidden w:val="0"/>
        </w:trPr>
        <w:tc>
          <w:tcPr>
            <w:tcW w:type="dxa" w:w="210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  <w:shd w:val="clear" w:fill="EDF1F8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1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합계</w:t>
            </w:r>
          </w:p>
        </w:tc>
        <w:tc>
          <w:tcPr>
            <w:tcW w:type="dxa" w:w="11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  <w:shd w:val="clear" w:fill="EDF1F8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1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3,000</w:t>
            </w:r>
          </w:p>
        </w:tc>
        <w:tc>
          <w:tcPr>
            <w:tcW w:type="dxa" w:w="950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  <w:shd w:val="clear" w:fill="EDF1F8"/>
          </w:tcPr>
          <w:p>
            <w:pPr>
              <w:jc w:val="center"/>
              <w:spacing w:lineRule="auto" w:line="259" w:after="0"/>
              <w:rPr>
                <w:shd w:val="clear"/>
              </w:rPr>
            </w:pPr>
            <w:r>
              <w:rPr>
                <w:b w:val="1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100%</w:t>
            </w:r>
          </w:p>
        </w:tc>
        <w:tc>
          <w:tcPr>
            <w:tcW w:type="dxa" w:w="5438"/>
            <w:tcMar>
              <w:left w:w="100" w:type="dxa"/>
              <w:right w:w="100" w:type="dxa"/>
              <w:top w:w="60" w:type="dxa"/>
              <w:bottom w:w="60" w:type="dxa"/>
            </w:tcMar>
            <w:vAlign w:val="top"/>
            <w:shd w:val="clear" w:fill="EDF1F8"/>
          </w:tcPr>
          <w:p>
            <w:pPr>
              <w:jc w:val="left"/>
              <w:spacing w:lineRule="auto" w:line="259" w:after="0"/>
              <w:rPr>
                <w:shd w:val="clear"/>
              </w:rPr>
            </w:pPr>
            <w:r>
              <w:rPr>
                <w:b w:val="1"/>
                <w:sz w:val="18"/>
                <w:szCs w:val="18"/>
                <w:shd w:val="clear"/>
                <w:rFonts w:ascii="Malgun Gothic" w:eastAsia="Malgun Gothic" w:hAnsi="Malgun Gothic" w:cs="Malgun Gothic"/>
              </w:rPr>
              <w:t>-</w:t>
            </w:r>
          </w:p>
        </w:tc>
      </w:tr>
    </w:tbl>
    <w:p>
      <w:pPr>
        <w:jc w:val="both"/>
        <w:spacing w:lineRule="auto" w:line="300" w:after="60"/>
        <w:rPr>
          <w:shd w:val="clear"/>
        </w:rPr>
      </w:pPr>
    </w:p>
    <w:p>
      <w:pPr>
        <w:jc w:val="both"/>
        <w:spacing w:lineRule="auto" w:line="300" w:after="16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웹서비스 개발과 서버 운영을 대표자가 직접 수행하므로 외주 개발비가 들지 않으며, 월세 8개월분을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선확보해 초기 매출이 안정화되기 전까지의 운영 위험에 대비한다. 본 계획은 정부지원금이 없어도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단계적으로 시작할 수 있는 구조이며, 지원을 받을 경우 작업환경 구성과 초도 재고 확보, 향후 제조 준비의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속도를 높일 수 있다.</w:t>
      </w:r>
    </w:p>
    <w:p>
      <w:pPr>
        <w:pStyle w:val="PO151"/>
        <w:spacing w:before="320" w:after="180"/>
        <w:rPr>
          <w:shd w:val="clear"/>
        </w:rPr>
      </w:pPr>
      <w:r>
        <w:rPr>
          <w:b w:val="1"/>
          <w:color w:val="1F3864"/>
          <w:sz w:val="26"/>
          <w:szCs w:val="26"/>
          <w:shd w:val="clear"/>
          <w:rFonts w:ascii="Malgun Gothic" w:eastAsia="Malgun Gothic" w:hAnsi="Malgun Gothic" w:cs="Malgun Gothic"/>
        </w:rPr>
        <w:t xml:space="preserve">11. 간식 제조업 확장전략</w:t>
      </w:r>
    </w:p>
    <w:p>
      <w:pPr>
        <w:jc w:val="both"/>
        <w:spacing w:lineRule="auto" w:line="300" w:after="16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간식 제조는 창업 후 2~3년 차를 목표로 하는 중장기 계획이며, 관련 시설과 인허가 요건을 충족한 후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추진한다. 제조할 간식의 종류는 미리 확정하지 않고, 소분 판매 단계에서 축적되는 실제 판매데이터(선호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맛·식감, 인기 품목, 가격대별 반응, 재구매율, 계절별·연령대별 선호)를 기반으로 결정한다.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준비 요건: 제조·가공시설과 설비, 품질관리 체계, 원재료 공급망, 제품 레시피, 식품 표시사항·품질검사,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관련 인허가, 제조 전문인력, 자체 브랜드와 상표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추진 방식: 시험제품 개발 → 소규모 시험 생산 → 기존 쿠지 고객 대상 검증 → 정식 출시의 단계를 거쳐,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검증되지 않은 상품에 대한 투자 위험을 최소화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출시 후 활용: 자체 제조상품을 간식쿠지에 우선 적용해 기존 고객 기반에서 판매를 시작하고, 일반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온라인 판매와 기업·단체 납품으로 확대</w:t>
      </w:r>
    </w:p>
    <w:p>
      <w:pPr>
        <w:pStyle w:val="PO151"/>
        <w:spacing w:before="320" w:after="180"/>
        <w:rPr>
          <w:shd w:val="clear"/>
        </w:rPr>
      </w:pPr>
      <w:r>
        <w:rPr>
          <w:b w:val="1"/>
          <w:color w:val="1F3864"/>
          <w:sz w:val="26"/>
          <w:szCs w:val="26"/>
          <w:shd w:val="clear"/>
          <w:rFonts w:ascii="Malgun Gothic" w:eastAsia="Malgun Gothic" w:hAnsi="Malgun Gothic" w:cs="Malgun Gothic"/>
        </w:rPr>
        <w:t xml:space="preserve">12. 단계별 사업 성장계획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1단계 · 소분업 기반 구축: 소분·포장 운영환경 확보, 상품 공급처 계약, 온라인 서비스 핵심기능 안정화,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관련 신고와 운영기준 점검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2단계 · 간식쿠지 시범운영(베타테스트): 소규모 고객 테스트, 실제 상품 배송, 고객반응·오류 확인, 인기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상품과 가격대 분석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3단계 · 정식 운영: 테마형 쿠지판 운영, 반복구매 고객 확보, SNS 개봉 콘텐츠 제작, 재고·배송·고객관리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체계 안정화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4단계 · 상품기획 역량 확보: 고객 구매데이터 분석, 선호 맛과 제품형태 조사, 자체 상품 아이디어 개발,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공급업체·제조전문가 협력 검토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5단계 · 간식 제조 준비: 제조시설·장비 검토, 필요 인허가 확인, 시험제품과 레시피 개발, 패키지·브랜드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구축, 시험 생산과 고객평가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6단계 · 자체 간식 제조 및 출시: 자체 브랜드 간식 출시, 간식쿠지 상품 우선 적용, 일반 온라인 판매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병행, 기업·단체 납품 확대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7단계 · 종합 간식 브랜드 확장: 제조상품 종류 확대, 지역 특산물 연계, 선물세트·시즌제품, 오프라인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판매처와 유통망 확대, 사회공헌형 제품과 기부프로그램 정착</w:t>
      </w:r>
    </w:p>
    <w:p>
      <w:pPr>
        <w:jc w:val="both"/>
        <w:spacing w:lineRule="auto" w:line="300" w:after="16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1~3단계는 소분업 중심의 현재 계획이고, 4단계 이후는 판매실적과 데이터가 확보된 뒤 추진하는 중장기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계획이다. 제조업 진입(5~6단계)은 필요한 인허가와 시설요건을 충족한 후 추진한다.</w:t>
      </w:r>
    </w:p>
    <w:p>
      <w:pPr>
        <w:pStyle w:val="PO151"/>
        <w:spacing w:before="320" w:after="180"/>
        <w:rPr>
          <w:shd w:val="clear"/>
        </w:rPr>
      </w:pPr>
      <w:r>
        <w:rPr>
          <w:b w:val="1"/>
          <w:color w:val="1F3864"/>
          <w:sz w:val="26"/>
          <w:szCs w:val="26"/>
          <w:shd w:val="clear"/>
          <w:rFonts w:ascii="Malgun Gothic" w:eastAsia="Malgun Gothic" w:hAnsi="Malgun Gothic" w:cs="Malgun Gothic"/>
        </w:rPr>
        <w:t xml:space="preserve">13. 마케팅 및 판로계획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판매 채널: 자체 웹사이트(간식쿠지)와 네이버 스마트스토어(일반 소분 판매)를 병행 운영해, 쿠지 이용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고객과 일반 구매 고객을 모두 확보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SNS 콘텐츠 마케팅: 쿠지 개봉 과정과 당첨 결과는 그 자체가 공유 가능한 콘텐츠 — 고객의 개봉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후기·SNS 공유를 자연스러운 홍보 수단으로 활용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초기 마케팅비 약 500만 원을 배정해 상품 촬영, 홍보 콘텐츠 제작, 초기 고객 유치 활동에 단계적으로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>집행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재방문 구조: 보관함·합배송, 라스트원 상품, 테마형·시즌형 쿠지판 교체로 반복 방문과 재구매를 유도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향후 판로: 온라인 판매 안정화 후 기업·단체용 쿠지, 지역 판로, 오프라인 유통으로 순차 확대</w:t>
      </w:r>
    </w:p>
    <w:p>
      <w:pPr>
        <w:pStyle w:val="PO151"/>
        <w:spacing w:before="320" w:after="180"/>
        <w:rPr>
          <w:shd w:val="clear"/>
        </w:rPr>
      </w:pPr>
      <w:r>
        <w:rPr>
          <w:b w:val="1"/>
          <w:color w:val="1F3864"/>
          <w:sz w:val="26"/>
          <w:szCs w:val="26"/>
          <w:shd w:val="clear"/>
          <w:rFonts w:ascii="Malgun Gothic" w:eastAsia="Malgun Gothic" w:hAnsi="Malgun Gothic" w:cs="Malgun Gothic"/>
        </w:rPr>
        <w:t xml:space="preserve">14. 사회공헌 및 간식 기부프로그램</w:t>
      </w:r>
    </w:p>
    <w:p>
      <w:pPr>
        <w:jc w:val="both"/>
        <w:spacing w:lineRule="auto" w:line="300" w:after="16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간식쿠지는 사업이 안정화된 이후 수익금 기부와 간식 현물 기부를 함께 운영할 계획이다. 기부 대상은 국내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취약계층으로 한정하며, 해외 기부는 하지 않는다는 것을 고정 원칙으로 한다.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수익금 기부: 특정 쿠지판 수익의 일부 기부, 일정 기간 수익금 중 일부 기부, 고객과 함께 기부처를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선정하는 캠페인, 기부금액과 사용내역의 투명한 공개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간식 현물 기부: 보육원 등 아동시설에는 기부금과 함께 아이들이 좋아하는 간식 위주로 전달하고,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미혼모 가정 등 취약계층에는 기부금 중심으로 지원하는 등 대상별 필요에 맞는 형식으로 운영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지역아동센터·복지시설 간식 전달, 명절·어린이날 등 시기별 간식 나눔, 재난·긴급상황 시 간식 지원,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향후 자체 제조 간식의 정기 기부</w:t>
      </w:r>
    </w:p>
    <w:p>
      <w:pPr>
        <w:jc w:val="both"/>
        <w:spacing w:lineRule="auto" w:line="300" w:after="16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간식 현물 기부는 재고를 처리하는 방식이 아니라, 기부처가 필요로 하는 제품과 수량을 사전에 확인하고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소비기한과 품질이 충분히 확보된 정상 상품을 전달하는 방식으로 계획한다.</w:t>
      </w:r>
    </w:p>
    <w:p>
      <w:pPr>
        <w:pStyle w:val="PO151"/>
        <w:spacing w:before="320" w:after="180"/>
        <w:rPr>
          <w:shd w:val="clear"/>
        </w:rPr>
      </w:pPr>
      <w:r>
        <w:rPr>
          <w:b w:val="1"/>
          <w:color w:val="1F3864"/>
          <w:sz w:val="26"/>
          <w:szCs w:val="26"/>
          <w:shd w:val="clear"/>
          <w:rFonts w:ascii="Malgun Gothic" w:eastAsia="Malgun Gothic" w:hAnsi="Malgun Gothic" w:cs="Malgun Gothic"/>
        </w:rPr>
        <w:t xml:space="preserve">15. 기업 이미지와 사회적 가치</w:t>
      </w:r>
    </w:p>
    <w:p>
      <w:pPr>
        <w:jc w:val="both"/>
        <w:spacing w:lineRule="auto" w:line="300" w:after="16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간식을 판매하는 기업이 간식으로 사회에 환원한다는 점에서 사회공헌 활동은 사업과 자연스럽게 연결된다.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수익금 기부와 현물 기부를 함께 운영하는 지속 가능한 구조를 갖추고, 고객이 구매를 통해 사회적 가치에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참여하는 경험을 제공하며, 기부처와 전달내역을 공개해 투명성과 신뢰를 확보한다.</w:t>
      </w:r>
    </w:p>
    <w:p>
      <w:pPr>
        <w:jc w:val="both"/>
        <w:spacing w:lineRule="auto" w:line="300" w:after="16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사회공헌은 매출을 높이기 위한 판촉 수단이 아니라, 사업과 연결된 사회적 책임을 지속적으로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실천함으로써 고객 신뢰와 긍정적인 브랜드 이미지를 형성하는 활동으로 운영한다. 자체 제조상품 출시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후에는 제품 기부를 통해 지역사회와 함께 성장하는 기업 이미지를 만들고, 직원 채용 이후에는 구성원이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함께 참여하는 봉사·기부문화로 발전시킬 수 있다.</w:t>
      </w:r>
    </w:p>
    <w:p>
      <w:pPr>
        <w:pStyle w:val="PO152"/>
        <w:spacing w:before="220" w:after="120"/>
        <w:rPr>
          <w:shd w:val="clear"/>
        </w:rPr>
      </w:pPr>
      <w:r>
        <w:rPr>
          <w:b w:val="1"/>
          <w:color w:val="2E5395"/>
          <w:sz w:val="22"/>
          <w:szCs w:val="22"/>
          <w:shd w:val="clear"/>
          <w:rFonts w:ascii="Malgun Gothic" w:eastAsia="Malgun Gothic" w:hAnsi="Malgun Gothic" w:cs="Malgun Gothic"/>
        </w:rPr>
        <w:t xml:space="preserve">사회공헌 단계별 실행계획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초기 단계: 사업 안정화와 지속 가능한 수익구조 확보를 우선하고, 소규모 간식 나눔 시범운영과 기부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대상기관·필요물품 조사 진행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성장 단계: 특정 쿠지판과 연계한 수익금 기부, 분기별·기념일 간식 현물 기부, 고객 참여형 기부처 선정,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사이트에 기부 결과 공개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제조 확장 단계: 자체 제조상품의 정기 기부, 기부 전용 제품·패키지 검토, 지역 복지기관과 장기 협력,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판매수량 연계 간식 나눔, 기업의 대표 사회공헌 활동으로 발전</w:t>
      </w:r>
    </w:p>
    <w:p>
      <w:pPr>
        <w:jc w:val="both"/>
        <w:spacing w:lineRule="auto" w:line="300" w:after="16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현재는 기부를 시행하기 전 준비 단계이며, 사업 성장에 따라 위 단계를 순차적으로 실행할 계획이다.</w:t>
      </w:r>
    </w:p>
    <w:p>
      <w:pPr>
        <w:pStyle w:val="PO151"/>
        <w:spacing w:before="320" w:after="180"/>
        <w:rPr>
          <w:shd w:val="clear"/>
        </w:rPr>
      </w:pPr>
      <w:r>
        <w:rPr>
          <w:b w:val="1"/>
          <w:color w:val="1F3864"/>
          <w:sz w:val="26"/>
          <w:szCs w:val="26"/>
          <w:shd w:val="clear"/>
          <w:rFonts w:ascii="Malgun Gothic" w:eastAsia="Malgun Gothic" w:hAnsi="Malgun Gothic" w:cs="Malgun Gothic"/>
        </w:rPr>
        <w:t xml:space="preserve">16. 대표자의 사업 수행역량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기술과 사업의 겸비: 대표자는 사업 아이템 기획부터 웹서비스 개발까지 직접 수행한다. 직접 개발을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위해 코딩을 공부하고 AI 도구를 활용해 아이디어를 구현해 왔으며, 그 결과물이 현재 핵심 기능 개발이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완료된 간식쿠지 웹서비스다.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외주 의존 없는 운영: 웹서비스를 직접 개발·유지하므로 외부 개발업체에 의존하지 않고, 고객 반응에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따라 기능을 빠르게 개선할 수 있다. 개발비가 들지 않아 초기 자금을 상품과 운영에 집중할 수 있다.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책임감: 대표자는 어린 나이에 가정을 이루며 강한 책임감을 갖추었고, 이는 사업을 끝까지 운영하는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>원동력이다.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단계적 성장 설계: 이용 흐름·수익구조·상품·재고·보관함 구조를 직접 설계했으며, 소분 판매에서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제조업까지 단계적인 성장계획을 갖고 사업을 추진한다.</w:t>
      </w:r>
    </w:p>
    <w:p>
      <w:pPr>
        <w:pStyle w:val="PO151"/>
        <w:spacing w:before="320" w:after="180"/>
        <w:rPr>
          <w:shd w:val="clear"/>
        </w:rPr>
      </w:pPr>
      <w:r>
        <w:rPr>
          <w:b w:val="1"/>
          <w:color w:val="1F3864"/>
          <w:sz w:val="26"/>
          <w:szCs w:val="26"/>
          <w:shd w:val="clear"/>
          <w:rFonts w:ascii="Malgun Gothic" w:eastAsia="Malgun Gothic" w:hAnsi="Malgun Gothic" w:cs="Malgun Gothic"/>
        </w:rPr>
        <w:t xml:space="preserve">17. 주요 위험과 대응방안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건전성 우려: 쿠지 방식이 사행성으로 오해될 수 있음 → 모든 번호에 실물 상품을 사전 배정하고 운영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중 결과를 변경하지 않는 구조로 운영하며, 원하지 않는 상품은 포인트로 전환할 수 있어 고객 손실을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최소화. 관련 법규와 운영 기준을 지속 점검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식품 위생·법규 위험 → 영업신고에 필요한 교육 이수와 신고 절차를 개업 전에 완료하고, 소분 봉투당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한 종류만 담는 단일 품목 소분 원칙 준수, 제습기 등 보관환경 관리와 소비기한 관리 체계 운영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초기 고객 확보 부진 → 네이버 스마트스토어 일반 판매를 병행해 기본 매출을 확보하고, 소규모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베타테스트로 반응을 검증한 뒤 마케팅비를 단계적으로 집행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재고 위험 → 소분 방식 특성상 소량·다품종으로 운영하고 쿠지판 단위로 소량 기획하며, 판매데이터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기반으로 발주량 조정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자금 위험 → 월세 8개월분 선확보와 운영예비금 편성으로 초기 매출 변동에 대비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1인 운영 부담 → 관리자 페이지로 상품·재고·주문 관리를 자동화하고, 매출 성장 단계에 맞춰 인력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채용을 검토</w:t>
      </w:r>
    </w:p>
    <w:p>
      <w:pPr>
        <w:pStyle w:val="PO151"/>
        <w:spacing w:before="320" w:after="180"/>
        <w:rPr>
          <w:shd w:val="clear"/>
        </w:rPr>
      </w:pPr>
      <w:r>
        <w:rPr>
          <w:b w:val="1"/>
          <w:color w:val="1F3864"/>
          <w:sz w:val="26"/>
          <w:szCs w:val="26"/>
          <w:shd w:val="clear"/>
          <w:rFonts w:ascii="Malgun Gothic" w:eastAsia="Malgun Gothic" w:hAnsi="Malgun Gothic" w:cs="Malgun Gothic"/>
        </w:rPr>
        <w:t xml:space="preserve">18. 기대효과</w:t>
      </w:r>
    </w:p>
    <w:p>
      <w:pPr>
        <w:jc w:val="both"/>
        <w:spacing w:lineRule="auto" w:line="300" w:after="16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본 사업은 간식 소분 판매라는 진입 부담이 낮은 사업에서 시작해, 검증된 데이터로 제조업까지 성장하는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단계적 모델을 제시한다. 정부지원금이 없어도 자체적으로 시작할 수 있는 구조이지만, 지원을 받을 경우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작업환경 구성과 초도 재고 확보가 빨라져 사업화 속도를 높이고 제조업 전환 준비를 앞당길 수 있다.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소비자에게는 다양한 간식을 부담 없이 경험하는 새로운 구매 방식을 제공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사업 성장에 따라 소분·포장·고객관리 인력 채용 등 지역 고용 창출 가능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국내 취약계층 대상 기부프로그램을 통한 지역사회 기여</w:t>
      </w:r>
    </w:p>
    <w:p>
      <w:pPr>
        <w:pStyle w:val="PO26"/>
        <w:numPr>
          <w:numId w:val="2"/>
          <w:ilvl w:val="0"/>
        </w:numPr>
        <w:spacing w:lineRule="auto" w:line="290" w:after="8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판매데이터 기반으로 소상공인이 제조업으로 확장하는 단계적 성장 사례</w:t>
      </w:r>
    </w:p>
    <w:p>
      <w:pPr>
        <w:pStyle w:val="PO151"/>
        <w:spacing w:before="320" w:after="180"/>
        <w:rPr>
          <w:shd w:val="clear"/>
        </w:rPr>
      </w:pPr>
      <w:r>
        <w:rPr>
          <w:b w:val="1"/>
          <w:color w:val="1F3864"/>
          <w:sz w:val="26"/>
          <w:szCs w:val="26"/>
          <w:shd w:val="clear"/>
          <w:rFonts w:ascii="Malgun Gothic" w:eastAsia="Malgun Gothic" w:hAnsi="Malgun Gothic" w:cs="Malgun Gothic"/>
        </w:rPr>
        <w:t xml:space="preserve">19. 결론</w:t>
      </w:r>
    </w:p>
    <w:p>
      <w:pPr>
        <w:jc w:val="both"/>
        <w:spacing w:lineRule="auto" w:line="300" w:after="160"/>
        <w:rPr>
          <w:shd w:val="clear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간식쿠지는 간식 소분 판매와 온라인 쿠지의 참여 경험을 결합한 체험형 간식 커머스다. 대표자가 직접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개발한 웹서비스라는 핵심 자산을 이미 보유하고 있고, 영업신고 교육 수강과 상가 물색 등 개업 준비가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구체적으로 진행 중이며, 쿠지와 일반 판매를 병행하는 손실 없는 가격 구조를 갖추고 있다.</w:t>
      </w:r>
    </w:p>
    <w:p>
      <w:pPr>
        <w:jc w:val="both"/>
        <w:spacing w:lineRule="auto" w:line="300" w:after="160"/>
        <w:rPr>
          <w:b w:val="0"/>
          <w:sz w:val="20"/>
          <w:szCs w:val="20"/>
          <w:shd w:val="clear"/>
          <w:rFonts w:ascii="Malgun Gothic" w:eastAsia="Malgun Gothic" w:hAnsi="Malgun Gothic" w:cs="Malgun Gothic"/>
        </w:rPr>
      </w:pP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현재의 소분 판매는 그 자체로 수익을 내는 사업인 동시에, 2~3년 후 자체 간식 제조로 확장하기 위한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시장검증 단계다. 실제 판매데이터로 검증한 뒤 제조에 투자하는 단계적 성장 구조는 위험을 관리하면서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브랜드로 성장하는 현실적인 경로다. 여기에 국내 취약계층을 위한 수익금·현물 기부를 사업 성장에 맞춰 </w:t>
      </w:r>
      <w:r>
        <w:rPr>
          <w:b w:val="0"/>
          <w:sz w:val="20"/>
          <w:szCs w:val="20"/>
          <w:shd w:val="clear"/>
          <w:rFonts w:ascii="Malgun Gothic" w:eastAsia="Malgun Gothic" w:hAnsi="Malgun Gothic" w:cs="Malgun Gothic"/>
        </w:rPr>
        <w:t xml:space="preserve">단계적으로 실행함으로써, 간식으로 사회에 환원하는 신뢰받는 간식 브랜드로 성장하고자 한다.</w:t>
      </w:r>
    </w:p>
    <w:p>
      <w:pPr>
        <w:jc w:val="both"/>
        <w:spacing w:lineRule="auto" w:line="300" w:after="160"/>
        <w:rPr>
          <w:b w:val="0"/>
          <w:sz w:val="20"/>
          <w:szCs w:val="20"/>
          <w:shd w:val="clear"/>
          <w:rFonts w:ascii="Malgun Gothic" w:eastAsia="Malgun Gothic" w:hAnsi="Malgun Gothic" w:cs="Malgun Gothic"/>
        </w:rPr>
      </w:pPr>
    </w:p>
    <w:p>
      <w:pPr>
        <w:jc w:val="both"/>
        <w:spacing w:lineRule="auto" w:line="300" w:after="160"/>
        <w:rPr>
          <w:b w:val="0"/>
          <w:sz w:val="96"/>
          <w:szCs w:val="96"/>
          <w:shd w:val="clear"/>
          <w:rFonts w:ascii="Malgun Gothic" w:eastAsia="Malgun Gothic" w:hAnsi="Malgun Gothic" w:cs="Malgun Gothic"/>
        </w:rPr>
      </w:pPr>
    </w:p>
    <w:p>
      <w:pPr>
        <w:jc w:val="center"/>
        <w:spacing w:lineRule="auto" w:line="300" w:after="160"/>
        <w:rPr>
          <w:sz w:val="96"/>
          <w:szCs w:val="96"/>
          <w:shd w:val="clear"/>
        </w:rPr>
      </w:pPr>
      <w:r>
        <w:rPr>
          <w:b w:val="0"/>
          <w:sz w:val="96"/>
          <w:szCs w:val="96"/>
          <w:shd w:val="clear"/>
          <w:rFonts w:ascii="Malgun Gothic" w:eastAsia="Malgun Gothic" w:hAnsi="Malgun Gothic" w:cs="Malgun Gothic"/>
        </w:rPr>
        <w:t>감사합니다</w:t>
      </w:r>
    </w:p>
    <w:sectPr>
      <w:pgSz w:w="11906" w:h="16838"/>
      <w:pgMar w:top="1134" w:left="1134" w:bottom="1134" w:right="1134" w:header="708" w:footer="708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3DF082C2"/>
    <w:lvl w:ilvl="0">
      <w:lvlJc w:val="left"/>
      <w:numFmt w:val="bullet"/>
      <w:start w:val="1"/>
      <w:suff w:val="tab"/>
      <w:pPr>
        <w:ind w:left="720" w:hanging="360"/>
        <w:rPr/>
      </w:pPr>
      <w:rPr>
        <w:shd w:val="clear"/>
      </w:rPr>
      <w:lvlText w:val="●"/>
    </w:lvl>
    <w:lvl w:ilvl="1">
      <w:lvlJc w:val="left"/>
      <w:numFmt w:val="bullet"/>
      <w:start w:val="1"/>
      <w:suff w:val="tab"/>
      <w:pPr>
        <w:ind w:left="1440" w:hanging="360"/>
        <w:rPr/>
      </w:pPr>
      <w:rPr>
        <w:shd w:val="clear"/>
      </w:rPr>
      <w:lvlText w:val="○"/>
    </w:lvl>
    <w:lvl w:ilvl="2">
      <w:lvlJc w:val="left"/>
      <w:numFmt w:val="bullet"/>
      <w:start w:val="1"/>
      <w:suff w:val="tab"/>
      <w:pPr>
        <w:ind w:left="2160" w:hanging="360"/>
        <w:rPr/>
      </w:pPr>
      <w:rPr>
        <w:shd w:val="clear"/>
      </w:rPr>
      <w:lvlText w:val="■"/>
    </w:lvl>
    <w:lvl w:ilvl="3">
      <w:lvlJc w:val="left"/>
      <w:numFmt w:val="bullet"/>
      <w:start w:val="1"/>
      <w:suff w:val="tab"/>
      <w:pPr>
        <w:ind w:left="2880" w:hanging="360"/>
        <w:rPr/>
      </w:pPr>
      <w:rPr>
        <w:shd w:val="clear"/>
      </w:rPr>
      <w:lvlText w:val="●"/>
    </w:lvl>
    <w:lvl w:ilvl="4">
      <w:lvlJc w:val="left"/>
      <w:numFmt w:val="bullet"/>
      <w:start w:val="1"/>
      <w:suff w:val="tab"/>
      <w:pPr>
        <w:ind w:left="3600" w:hanging="360"/>
        <w:rPr/>
      </w:pPr>
      <w:rPr>
        <w:shd w:val="clear"/>
      </w:rPr>
      <w:lvlText w:val="○"/>
    </w:lvl>
    <w:lvl w:ilvl="5">
      <w:lvlJc w:val="left"/>
      <w:numFmt w:val="bullet"/>
      <w:start w:val="1"/>
      <w:suff w:val="tab"/>
      <w:pPr>
        <w:ind w:left="4320" w:hanging="360"/>
        <w:rPr/>
      </w:pPr>
      <w:rPr>
        <w:shd w:val="clear"/>
      </w:rPr>
      <w:lvlText w:val="■"/>
    </w:lvl>
    <w:lvl w:ilvl="6">
      <w:lvlJc w:val="left"/>
      <w:numFmt w:val="bullet"/>
      <w:start w:val="1"/>
      <w:suff w:val="tab"/>
      <w:pPr>
        <w:ind w:left="5040" w:hanging="360"/>
        <w:rPr/>
      </w:pPr>
      <w:rPr>
        <w:shd w:val="clear"/>
      </w:rPr>
      <w:lvlText w:val="●"/>
    </w:lvl>
    <w:lvl w:ilvl="7">
      <w:lvlJc w:val="left"/>
      <w:numFmt w:val="bullet"/>
      <w:start w:val="1"/>
      <w:suff w:val="tab"/>
      <w:pPr>
        <w:ind w:left="5760" w:hanging="360"/>
        <w:rPr/>
      </w:pPr>
      <w:rPr>
        <w:shd w:val="clear"/>
      </w:rPr>
      <w:lvlText w:val="●"/>
    </w:lvl>
    <w:lvl w:ilvl="8">
      <w:lvlJc w:val="left"/>
      <w:numFmt w:val="bullet"/>
      <w:start w:val="1"/>
      <w:suff w:val="tab"/>
      <w:pPr>
        <w:ind w:left="6480" w:hanging="360"/>
        <w:rPr/>
      </w:pPr>
      <w:rPr>
        <w:shd w:val="clear"/>
      </w:rPr>
      <w:lvlText w:val="●"/>
    </w:lvl>
  </w:abstractNum>
  <w:abstractNum w:abstractNumId="1">
    <w:multiLevelType w:val="hybridMultilevel"/>
    <w:nsid w:val="2F000001"/>
    <w:tmpl w:val="3A4A22B2"/>
    <w:lvl w:ilvl="0">
      <w:lvlJc w:val="left"/>
      <w:numFmt w:val="bullet"/>
      <w:start w:val="1"/>
      <w:suff w:val="tab"/>
      <w:pPr>
        <w:ind w:left="360" w:hanging="200"/>
        <w:rPr/>
      </w:pPr>
      <w:rPr>
        <w:shd w:val="clear"/>
      </w:rPr>
      <w:lvlText w:val="•"/>
    </w:lvl>
    <w:lvl w:ilvl="1">
      <w:lvlJc w:val="left"/>
      <w:numFmt w:val="bullet"/>
      <w:start w:val="1"/>
      <w:suff w:val="tab"/>
      <w:pPr>
        <w:ind w:left="360" w:hanging="200"/>
        <w:rPr/>
      </w:pPr>
      <w:rPr>
        <w:shd w:val="clear"/>
      </w:rPr>
      <w:lvlText w:val="•"/>
    </w:lvl>
    <w:lvl w:ilvl="2">
      <w:lvlJc w:val="left"/>
      <w:numFmt w:val="bullet"/>
      <w:start w:val="1"/>
      <w:suff w:val="tab"/>
      <w:pPr>
        <w:ind w:left="360" w:hanging="200"/>
        <w:rPr/>
      </w:pPr>
      <w:rPr>
        <w:shd w:val="clear"/>
      </w:rPr>
      <w:lvlText w:val="•"/>
    </w:lvl>
    <w:lvl w:ilvl="3">
      <w:lvlJc w:val="left"/>
      <w:numFmt w:val="bullet"/>
      <w:start w:val="1"/>
      <w:suff w:val="tab"/>
      <w:pPr>
        <w:ind w:left="360" w:hanging="200"/>
        <w:rPr/>
      </w:pPr>
      <w:rPr>
        <w:shd w:val="clear"/>
      </w:rPr>
      <w:lvlText w:val="•"/>
    </w:lvl>
    <w:lvl w:ilvl="4">
      <w:lvlJc w:val="left"/>
      <w:numFmt w:val="bullet"/>
      <w:start w:val="1"/>
      <w:suff w:val="tab"/>
      <w:pPr>
        <w:ind w:left="360" w:hanging="200"/>
        <w:rPr/>
      </w:pPr>
      <w:rPr>
        <w:shd w:val="clear"/>
      </w:rPr>
      <w:lvlText w:val="•"/>
    </w:lvl>
    <w:lvl w:ilvl="5">
      <w:lvlJc w:val="left"/>
      <w:numFmt w:val="bullet"/>
      <w:start w:val="1"/>
      <w:suff w:val="tab"/>
      <w:pPr>
        <w:ind w:left="360" w:hanging="200"/>
        <w:rPr/>
      </w:pPr>
      <w:rPr>
        <w:shd w:val="clear"/>
      </w:rPr>
      <w:lvlText w:val="•"/>
    </w:lvl>
    <w:lvl w:ilvl="6">
      <w:lvlJc w:val="left"/>
      <w:numFmt w:val="bullet"/>
      <w:start w:val="1"/>
      <w:suff w:val="tab"/>
      <w:pPr>
        <w:ind w:left="360" w:hanging="200"/>
        <w:rPr/>
      </w:pPr>
      <w:rPr>
        <w:shd w:val="clear"/>
      </w:rPr>
      <w:lvlText w:val="•"/>
    </w:lvl>
    <w:lvl w:ilvl="7">
      <w:lvlJc w:val="left"/>
      <w:numFmt w:val="bullet"/>
      <w:start w:val="1"/>
      <w:suff w:val="tab"/>
      <w:pPr>
        <w:ind w:left="360" w:hanging="200"/>
        <w:rPr/>
      </w:pPr>
      <w:rPr>
        <w:shd w:val="clear"/>
      </w:rPr>
      <w:lvlText w:val="•"/>
    </w:lvl>
    <w:lvl w:ilvl="8">
      <w:lvlJc w:val="left"/>
      <w:numFmt w:val="bullet"/>
      <w:start w:val="1"/>
      <w:suff w:val="tab"/>
      <w:pPr>
        <w:ind w:left="360" w:hanging="200"/>
        <w:rPr/>
      </w:pPr>
      <w:rPr>
        <w:shd w:val="clear"/>
      </w:rPr>
      <w:lvlText w:val="•"/>
    </w:lvl>
  </w:abstractNum>
  <w:num w:numId="1">
    <w:abstractNumId w:val="0"/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</w:num>
  <w:num w:numId="2">
    <w:abstractNumId w:val="1"/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evenAndOddHeaders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rPr/>
      </w:pPr>
    </w:pPrDefault>
    <w:rPrDefault>
      <w:rPr>
        <w:sz w:val="20"/>
        <w:szCs w:val="20"/>
        <w:shd w:val="clear"/>
        <w:rFonts w:ascii="Malgun Gothic" w:eastAsia="Malgun Gothic" w:hAnsi="Malgun Gothic" w:cs="Malgun Gothic"/>
      </w:rPr>
    </w:rPrDefault>
  </w:docDefaults>
  <w:style w:default="1" w:styleId="PO1" w:type="paragraph">
    <w:name w:val="Normal"/>
    <w:next w:val="PO1"/>
    <w:qFormat/>
    <w:uiPriority w:val="-1"/>
    <w:pPr>
      <w:jc w:val="both"/>
      <w:spacing w:lineRule="auto" w:line="259"/>
      <w:rPr/>
      <w:widowControl w:val="0"/>
      <w:autoSpaceDE w:val="0"/>
      <w:autoSpaceDN w:val="0"/>
    </w:pPr>
    <w:rPr>
      <w:sz w:val="22"/>
      <w:szCs w:val="22"/>
      <w:shd w:val="clear"/>
      <w:rFonts w:ascii="NanumGothic" w:eastAsia="NanumGothic" w:hAnsi="NanumGothic" w:cs="NanumGothic"/>
    </w:rPr>
  </w:style>
  <w:style w:default="1" w:styleId="PO2" w:type="character">
    <w:name w:val="Default Paragraph Font"/>
    <w:next w:val="PO1"/>
    <w:qFormat/>
    <w:uiPriority w:val="-1"/>
    <w:semiHidden/>
    <w:unhideWhenUsed/>
    <w:rPr>
      <w:color w:val="auto"/>
      <w:sz w:val="22"/>
      <w:szCs w:val="22"/>
      <w:shd w:val="clear"/>
    </w:rPr>
  </w:style>
  <w:style w:default="1" w:styleId="PO3" w:type="table">
    <w:name w:val="Normal Table"/>
    <w:uiPriority w:val="-1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next w:val="PO1"/>
    <w:uiPriority w:val="-1"/>
    <w:semiHidden/>
    <w:unhideWhenUsed/>
  </w:style>
  <w:style w:styleId="PO6" w:type="paragraph">
    <w:name w:val="Title"/>
    <w:qFormat/>
    <w:rPr>
      <w:sz w:val="56"/>
      <w:szCs w:val="56"/>
      <w:shd w:val="clear"/>
    </w:rPr>
  </w:style>
  <w:style w:styleId="PO20" w:type="paragraph">
    <w:name w:val="Strong"/>
    <w:qFormat/>
    <w:rPr>
      <w:b w:val="1"/>
      <w:shd w:val="clear"/>
    </w:rPr>
  </w:style>
  <w:style w:styleId="PO26" w:type="paragraph">
    <w:name w:val="List Paragraph"/>
    <w:qFormat/>
  </w:style>
  <w:style w:styleId="PO151" w:type="paragraph">
    <w:name w:val="Heading 1"/>
    <w:qFormat/>
    <w:rPr>
      <w:color w:val="2E74B5"/>
      <w:sz w:val="32"/>
      <w:szCs w:val="32"/>
      <w:shd w:val="clear"/>
    </w:rPr>
  </w:style>
  <w:style w:styleId="PO152" w:type="paragraph">
    <w:name w:val="Heading 2"/>
    <w:qFormat/>
    <w:rPr>
      <w:color w:val="2E74B5"/>
      <w:sz w:val="26"/>
      <w:szCs w:val="26"/>
      <w:shd w:val="clear"/>
    </w:rPr>
  </w:style>
  <w:style w:styleId="PO153" w:type="paragraph">
    <w:name w:val="Heading 3"/>
    <w:qFormat/>
    <w:rPr>
      <w:color w:val="1F4D78"/>
      <w:sz w:val="24"/>
      <w:szCs w:val="24"/>
      <w:shd w:val="clear"/>
    </w:rPr>
  </w:style>
  <w:style w:styleId="PO154" w:type="paragraph">
    <w:name w:val="Heading 4"/>
    <w:qFormat/>
    <w:rPr>
      <w:i w:val="1"/>
      <w:color w:val="2E74B5"/>
      <w:shd w:val="clear"/>
    </w:rPr>
  </w:style>
  <w:style w:styleId="PO155" w:type="paragraph">
    <w:name w:val="Heading 5"/>
    <w:qFormat/>
    <w:rPr>
      <w:color w:val="2E74B5"/>
      <w:shd w:val="clear"/>
    </w:rPr>
  </w:style>
  <w:style w:styleId="PO156" w:type="paragraph">
    <w:name w:val="Heading 6"/>
    <w:qFormat/>
    <w:rPr>
      <w:color w:val="1F4D78"/>
      <w:shd w:val="clear"/>
    </w:rPr>
  </w:style>
  <w:style w:styleId="PO157" w:type="character">
    <w:name w:val="Hyperlink"/>
    <w:uiPriority w:val="99"/>
    <w:unhideWhenUsed/>
    <w:rPr>
      <w:color w:val="0563C1"/>
      <w:u w:val="single"/>
      <w:shd w:val="clear"/>
    </w:rPr>
  </w:style>
  <w:style w:styleId="PO158" w:type="character">
    <w:name w:val="footnote reference"/>
    <w:uiPriority w:val="99"/>
    <w:semiHidden/>
    <w:unhideWhenUsed/>
    <w:rPr>
      <w:vertAlign w:val="superscript"/>
      <w:shd w:val="clear"/>
    </w:rPr>
  </w:style>
  <w:style w:styleId="PO159" w:type="paragraph">
    <w:name w:val="footnote text"/>
    <w:link w:val="PO160"/>
    <w:uiPriority w:val="99"/>
    <w:semiHidden/>
    <w:unhideWhenUsed/>
    <w:pPr>
      <w:spacing w:lineRule="auto" w:line="240" w:after="0"/>
      <w:rPr/>
    </w:pPr>
    <w:rPr>
      <w:sz w:val="20"/>
      <w:szCs w:val="20"/>
      <w:shd w:val="clear"/>
    </w:rPr>
  </w:style>
  <w:style w:styleId="PO160" w:type="character">
    <w:name w:val="Footnote Text Char"/>
    <w:link w:val="PO159"/>
    <w:uiPriority w:val="99"/>
    <w:semiHidden/>
    <w:unhideWhenUsed/>
    <w:rPr>
      <w:sz w:val="20"/>
      <w:szCs w:val="20"/>
      <w:shd w:val="clear"/>
    </w:rPr>
  </w:style>
  <w:style w:styleId="PO161" w:type="character">
    <w:name w:val="endnote reference"/>
    <w:uiPriority w:val="99"/>
    <w:semiHidden/>
    <w:unhideWhenUsed/>
    <w:rPr>
      <w:vertAlign w:val="superscript"/>
      <w:shd w:val="clear"/>
    </w:rPr>
  </w:style>
  <w:style w:styleId="PO162" w:type="paragraph">
    <w:name w:val="endnote text"/>
    <w:link w:val="PO163"/>
    <w:uiPriority w:val="99"/>
    <w:semiHidden/>
    <w:unhideWhenUsed/>
    <w:pPr>
      <w:spacing w:lineRule="auto" w:line="240" w:after="0"/>
      <w:rPr/>
    </w:pPr>
    <w:rPr>
      <w:sz w:val="20"/>
      <w:szCs w:val="20"/>
      <w:shd w:val="clear"/>
    </w:rPr>
  </w:style>
  <w:style w:styleId="PO163" w:type="character">
    <w:name w:val="Endnote Text Char"/>
    <w:link w:val="PO162"/>
    <w:uiPriority w:val="99"/>
    <w:semiHidden/>
    <w:unhideWhenUsed/>
    <w:rPr>
      <w:sz w:val="20"/>
      <w:szCs w:val="20"/>
      <w:shd w:val="cle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numbering" Target="numbering.xml"></Relationship><Relationship Id="rId6" Type="http://schemas.openxmlformats.org/officeDocument/2006/relationships/theme" Target="theme/theme1.xml"></Relationship></Relationships>
</file>

<file path=word/_rels/fontTable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11</Pages>
  <Paragraphs>0</Paragraphs>
  <Words>0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Un-named</dc:creator>
  <cp:lastModifiedBy/>
  <dcterms:modified xsi:type="dcterms:W3CDTF">2026-08-03T20:44:39Z</dcterms:modified>
</cp:coreProperties>
</file>