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
    <w:p/>
    <w:p/>
    <w:p/>
    <w:p/>
    <w:p>
      <w:pPr>
        <w:jc w:val="center"/>
      </w:pPr>
      <w:r>
        <w:rPr>
          <w:color w:val="595959"/>
          <w:sz w:val="28"/>
          <w:szCs w:val="28"/>
        </w:rPr>
        <w:t xml:space="preserve">사업계획서</w:t>
      </w:r>
    </w:p>
    <w:p>
      <w:pPr>
        <w:spacing w:after="200"/>
      </w:pPr>
    </w:p>
    <w:p>
      <w:pPr>
        <w:jc w:val="center"/>
      </w:pPr>
      <w:r>
        <w:rPr>
          <w:b/>
          <w:bCs/>
          <w:color w:val="1F2A44"/>
          <w:sz w:val="72"/>
          <w:szCs w:val="72"/>
        </w:rPr>
        <w:t xml:space="preserve">디오월드</w:t>
      </w:r>
    </w:p>
    <w:p>
      <w:pPr>
        <w:spacing w:before="120"/>
        <w:jc w:val="center"/>
      </w:pPr>
      <w:r>
        <w:rPr>
          <w:color w:val="B8952A"/>
          <w:spacing w:val="20"/>
          <w:sz w:val="24"/>
          <w:szCs w:val="24"/>
        </w:rPr>
        <w:t xml:space="preserve">DIO WORLD</w:t>
      </w:r>
    </w:p>
    <w:p>
      <w:pPr>
        <w:spacing w:before="300"/>
        <w:jc w:val="center"/>
      </w:pPr>
      <w:r>
        <w:rPr>
          <w:color w:val="222222"/>
          <w:sz w:val="24"/>
          <w:szCs w:val="24"/>
        </w:rPr>
        <w:t xml:space="preserve">국내 최초 구동형 미니어처 테마파크</w:t>
      </w:r>
    </w:p>
    <w:p/>
    <w:p/>
    <w:p/>
    <w:p/>
    <w:p/>
    <w:p/>
    <w:p/>
    <w:p/>
    <w:p>
      <w:pPr>
        <w:jc w:val="center"/>
      </w:pPr>
      <w:r>
        <w:rPr>
          <w:color w:val="595959"/>
          <w:sz w:val="20"/>
          <w:szCs w:val="20"/>
        </w:rPr>
        <w:t xml:space="preserve">2026년 8월</w:t>
      </w:r>
    </w:p>
    <w:p>
      <w:pPr>
        <w:spacing w:before="80"/>
        <w:jc w:val="center"/>
      </w:pPr>
      <w:r>
        <w:rPr>
          <w:color w:val="595959"/>
          <w:sz w:val="20"/>
          <w:szCs w:val="20"/>
        </w:rPr>
        <w:t xml:space="preserve">신청자  |  [대표자명]</w:t>
      </w:r>
    </w:p>
    <w:p>
      <w:pPr>
        <w:spacing w:before="40"/>
        <w:jc w:val="center"/>
      </w:pPr>
      <w:r>
        <w:rPr>
          <w:color w:val="595959"/>
          <w:sz w:val="20"/>
          <w:szCs w:val="20"/>
        </w:rPr>
        <w:t xml:space="preserve">연락처  |  010-2478-1696</w:t>
      </w:r>
    </w:p>
    <w:p>
      <w:r>
        <w:br w:type="page"/>
      </w:r>
    </w:p>
    <w:p>
      <w:pPr>
        <w:spacing w:after="300"/>
      </w:pPr>
      <w:r>
        <w:rPr>
          <w:b/>
          <w:bCs/>
          <w:color w:val="1F2A44"/>
          <w:sz w:val="32"/>
          <w:szCs w:val="32"/>
        </w:rPr>
        <w:t xml:space="preserve">목차</w:t>
      </w:r>
    </w:p>
    <w:p>
      <w:pPr>
        <w:spacing w:after="160"/>
      </w:pPr>
      <w:r>
        <w:rPr>
          <w:color w:val="222222"/>
          <w:sz w:val="22"/>
          <w:szCs w:val="22"/>
        </w:rPr>
        <w:t xml:space="preserve">1. 사업 개요</w:t>
      </w:r>
    </w:p>
    <w:p>
      <w:pPr>
        <w:spacing w:after="160"/>
      </w:pPr>
      <w:r>
        <w:rPr>
          <w:color w:val="222222"/>
          <w:sz w:val="22"/>
          <w:szCs w:val="22"/>
        </w:rPr>
        <w:t xml:space="preserve">2. 시장 분석</w:t>
      </w:r>
    </w:p>
    <w:p>
      <w:pPr>
        <w:spacing w:after="160"/>
      </w:pPr>
      <w:r>
        <w:rPr>
          <w:color w:val="222222"/>
          <w:sz w:val="22"/>
          <w:szCs w:val="22"/>
        </w:rPr>
        <w:t xml:space="preserve">3. 사업 모델</w:t>
      </w:r>
    </w:p>
    <w:p>
      <w:pPr>
        <w:spacing w:after="160"/>
      </w:pPr>
      <w:r>
        <w:rPr>
          <w:color w:val="222222"/>
          <w:sz w:val="22"/>
          <w:szCs w:val="22"/>
        </w:rPr>
        <w:t xml:space="preserve">4. 수익 모델</w:t>
      </w:r>
    </w:p>
    <w:p>
      <w:pPr>
        <w:spacing w:after="160"/>
      </w:pPr>
      <w:r>
        <w:rPr>
          <w:color w:val="222222"/>
          <w:sz w:val="22"/>
          <w:szCs w:val="22"/>
        </w:rPr>
        <w:t xml:space="preserve">5. 재무 계획</w:t>
      </w:r>
    </w:p>
    <w:p>
      <w:pPr>
        <w:spacing w:after="160"/>
      </w:pPr>
      <w:r>
        <w:rPr>
          <w:color w:val="222222"/>
          <w:sz w:val="22"/>
          <w:szCs w:val="22"/>
        </w:rPr>
        <w:t xml:space="preserve">6. 실행 로드맵</w:t>
      </w:r>
    </w:p>
    <w:p>
      <w:pPr>
        <w:spacing w:after="160"/>
      </w:pPr>
      <w:r>
        <w:rPr>
          <w:color w:val="222222"/>
          <w:sz w:val="22"/>
          <w:szCs w:val="22"/>
        </w:rPr>
        <w:t xml:space="preserve">7. 마케팅 전략</w:t>
      </w:r>
    </w:p>
    <w:p>
      <w:pPr>
        <w:spacing w:after="160"/>
      </w:pPr>
      <w:r>
        <w:rPr>
          <w:color w:val="222222"/>
          <w:sz w:val="22"/>
          <w:szCs w:val="22"/>
        </w:rPr>
        <w:t xml:space="preserve">8. 조직 및 인력 계획</w:t>
      </w:r>
    </w:p>
    <w:p>
      <w:pPr>
        <w:spacing w:after="160"/>
      </w:pPr>
      <w:r>
        <w:rPr>
          <w:color w:val="222222"/>
          <w:sz w:val="22"/>
          <w:szCs w:val="22"/>
        </w:rPr>
        <w:t xml:space="preserve">9. 리스크 관리</w:t>
      </w:r>
    </w:p>
    <w:p>
      <w:pPr>
        <w:spacing w:after="160"/>
      </w:pPr>
      <w:r>
        <w:rPr>
          <w:color w:val="222222"/>
          <w:sz w:val="22"/>
          <w:szCs w:val="22"/>
        </w:rPr>
        <w:t xml:space="preserve">10. 신청자 소개</w:t>
      </w:r>
    </w:p>
    <w:p>
      <w:pPr>
        <w:spacing w:after="160"/>
      </w:pPr>
      <w:r>
        <w:rPr>
          <w:color w:val="222222"/>
          <w:sz w:val="22"/>
          <w:szCs w:val="22"/>
        </w:rPr>
        <w:t xml:space="preserve">11. 투자 제안</w:t>
      </w:r>
    </w:p>
    <w:p>
      <w:r>
        <w:br w:type="page"/>
      </w:r>
    </w:p>
    <w:p>
      <w:pPr>
        <w:pStyle w:val="Heading1"/>
        <w:pBdr>
          <w:bottom w:val="single" w:color="B8952A" w:sz="6" w:space="4"/>
        </w:pBdr>
        <w:spacing w:after="200" w:before="480"/>
      </w:pPr>
      <w:r>
        <w:rPr>
          <w:b/>
          <w:bCs/>
          <w:color w:val="1F2A44"/>
          <w:sz w:val="30"/>
          <w:szCs w:val="30"/>
        </w:rPr>
        <w:t xml:space="preserve">1. 사업 개요</w:t>
      </w:r>
    </w:p>
    <w:p>
      <w:pPr>
        <w:spacing w:after="180" w:line="320"/>
      </w:pPr>
      <w:r>
        <w:rPr>
          <w:color w:val="222222"/>
          <w:sz w:val="21"/>
          <w:szCs w:val="21"/>
        </w:rPr>
        <w:t xml:space="preserve">디오월드는 광주광역시에 조성을 추진하는 대형 실내 구동형 미니어처 테마파크입니다. 밤과 낮이 전환되는 미니어처 도시, 해안 시가지를 그대로 서킷으로 삼은 레이싱존, 방문객이 직접 조종하는 중장비 체험존, 폭풍우가 재현되는 바다존을 중심 카페와 함께 하나의 공간에 담습니다.</w:t>
      </w:r>
    </w:p>
    <w:p>
      <w:pPr>
        <w:spacing w:after="180" w:line="320"/>
      </w:pPr>
      <w:r>
        <w:rPr>
          <w:color w:val="222222"/>
          <w:sz w:val="21"/>
          <w:szCs w:val="21"/>
        </w:rPr>
        <w:t xml:space="preserve">국내 미니어처 전시 시설의 공통적 한계는 정지된 유리장 전시라는 점입니다. 디오월드는 이를 정면으로 뒤집어, 움직이고 참여하는 구조로 설계했습니다. 전체 완공을 기다리는 대신 핵심 존을 우선 개장하고 이후 단계적으로 확장하는 방식을 채택해, 자본이 장기간 묶이지 않고 개장 시점부터 현금 흐름이 발생하도록 설계했습니다.</w:t>
      </w:r>
    </w:p>
    <w:p>
      <w:pPr>
        <w:pStyle w:val="Heading2"/>
        <w:spacing w:after="120" w:before="320"/>
      </w:pPr>
      <w:r>
        <w:rPr>
          <w:b/>
          <w:bCs/>
          <w:color w:val="1F2A44"/>
          <w:sz w:val="24"/>
          <w:szCs w:val="24"/>
        </w:rPr>
        <w:t xml:space="preserve">사업 형태 및 추진 단계</w:t>
      </w:r>
    </w:p>
    <w:p>
      <w:pPr>
        <w:spacing w:after="180" w:line="320"/>
      </w:pPr>
      <w:r>
        <w:rPr>
          <w:color w:val="222222"/>
          <w:sz w:val="21"/>
          <w:szCs w:val="21"/>
        </w:rPr>
        <w:t xml:space="preserve">현재는 기획 단계이며, 신청자는 5년 이상 사업체를 단독으로 기획·운영해온 경험을 보유하고 있습니다. 디오월드는 초기 투자 파트너 확정 이후 법인을 설립하여 추진할 계획입니다.</w:t>
      </w:r>
    </w:p>
    <w:p>
      <w:pPr>
        <w:pStyle w:val="Heading2"/>
        <w:spacing w:after="120" w:before="320"/>
      </w:pPr>
      <w:r>
        <w:rPr>
          <w:b/>
          <w:bCs/>
          <w:color w:val="1F2A44"/>
          <w:sz w:val="24"/>
          <w:szCs w:val="24"/>
        </w:rPr>
        <w:t xml:space="preserve">핵심 요청 사항</w:t>
      </w:r>
    </w:p>
    <w:p>
      <w:pPr>
        <w:pStyle w:val="ListParagraph"/>
        <w:numPr>
          <w:ilvl w:val="0"/>
          <w:numId w:val="2"/>
        </w:numPr>
        <w:spacing w:after="100" w:line="300"/>
      </w:pPr>
      <w:r>
        <w:rPr>
          <w:color w:val="222222"/>
          <w:sz w:val="21"/>
          <w:szCs w:val="21"/>
        </w:rPr>
        <w:t xml:space="preserve">요청 투자 규모: 5억 원 이상</w:t>
      </w:r>
    </w:p>
    <w:p>
      <w:pPr>
        <w:pStyle w:val="ListParagraph"/>
        <w:numPr>
          <w:ilvl w:val="0"/>
          <w:numId w:val="2"/>
        </w:numPr>
        <w:spacing w:after="100" w:line="300"/>
      </w:pPr>
      <w:r>
        <w:rPr>
          <w:color w:val="222222"/>
          <w:sz w:val="21"/>
          <w:szCs w:val="21"/>
        </w:rPr>
        <w:t xml:space="preserve">자금 용도: 부지 임대보증금, 인테리어, 제작팀 인건비·재료비, 초기 운영자금</w:t>
      </w:r>
    </w:p>
    <w:p>
      <w:pPr>
        <w:pStyle w:val="ListParagraph"/>
        <w:numPr>
          <w:ilvl w:val="0"/>
          <w:numId w:val="2"/>
        </w:numPr>
        <w:spacing w:after="100" w:line="300"/>
      </w:pPr>
      <w:r>
        <w:rPr>
          <w:color w:val="222222"/>
          <w:sz w:val="21"/>
          <w:szCs w:val="21"/>
        </w:rPr>
        <w:t xml:space="preserve">예상 투자 회수: 기본 시나리오 기준 약 3년, 이후 지분 수익 지속</w:t>
      </w:r>
    </w:p>
    <w:p>
      <w:pPr>
        <w:pStyle w:val="Heading1"/>
        <w:pBdr>
          <w:bottom w:val="single" w:color="B8952A" w:sz="6" w:space="4"/>
        </w:pBdr>
        <w:spacing w:after="200" w:before="480"/>
      </w:pPr>
      <w:r>
        <w:rPr>
          <w:b/>
          <w:bCs/>
          <w:color w:val="1F2A44"/>
          <w:sz w:val="30"/>
          <w:szCs w:val="30"/>
        </w:rPr>
        <w:t xml:space="preserve">2. 시장 분석</w:t>
      </w:r>
    </w:p>
    <w:p>
      <w:pPr>
        <w:pStyle w:val="Heading2"/>
        <w:spacing w:after="120" w:before="320"/>
      </w:pPr>
      <w:r>
        <w:rPr>
          <w:b/>
          <w:bCs/>
          <w:color w:val="1F2A44"/>
          <w:sz w:val="24"/>
          <w:szCs w:val="24"/>
        </w:rPr>
        <w:t xml:space="preserve">2.1 국내 키덜트 시장 현황 및 전망</w:t>
      </w:r>
    </w:p>
    <w:p>
      <w:pPr>
        <w:spacing w:after="180" w:line="320"/>
      </w:pPr>
      <w:r>
        <w:rPr>
          <w:color w:val="222222"/>
          <w:sz w:val="21"/>
          <w:szCs w:val="21"/>
        </w:rPr>
        <w:t xml:space="preserve">국내 키덜트 시장은 2014년 약 5,000억 원에서 2020년 약 1조 6,000억 원 규모로 성장했으며, 향후 11조 원 규모까지 성장할 것으로 전망됩니다(한국콘텐츠진흥원). 저출산으로 유아동 완구 시장이 축소되는 것과 반대로, 구매력을 갖춘 성인의 경험·수집 소비가 시장의 중심으로 이동하고 있습니다.</w:t>
      </w:r>
    </w:p>
    <w:p>
      <w:pPr>
        <w:pStyle w:val="Heading2"/>
        <w:spacing w:after="120" w:before="320"/>
      </w:pPr>
      <w:r>
        <w:rPr>
          <w:b/>
          <w:bCs/>
          <w:color w:val="1F2A44"/>
          <w:sz w:val="24"/>
          <w:szCs w:val="24"/>
        </w:rPr>
        <w:t xml:space="preserve">2.2 기존 미니어처 전시 시설의 한계</w:t>
      </w:r>
    </w:p>
    <w:p>
      <w:pPr>
        <w:spacing w:after="180" w:line="320"/>
      </w:pPr>
      <w:r>
        <w:rPr>
          <w:color w:val="222222"/>
          <w:sz w:val="21"/>
          <w:szCs w:val="21"/>
        </w:rPr>
        <w:t xml:space="preserve">국내에도 미니어처 전시 시설이 존재하나, 방문 후기에는 아쉬움이 반복적으로 나타납니다. 공통된 원인은 정지된 유리장 전시라는 점으로, 관람은 10분 내외로 끝나고 재방문 유인이 만들어지지 않습니다.</w:t>
      </w:r>
    </w:p>
    <w:p>
      <w:pPr>
        <w:spacing w:after="180" w:line="320"/>
      </w:pPr>
      <w:r>
        <w:rPr>
          <w:color w:val="222222"/>
          <w:sz w:val="21"/>
          <w:szCs w:val="21"/>
        </w:rPr>
        <w:t xml:space="preserve">반면 해외에서는 구동형 모델의 산업적 성공이 이미 확인됩니다. 독일 함부르크의 한 미니어처 전시 공간은 2001년 두 형제가 시작한 이래, 개장 이후 누적 방문객 2,500만 명을 넘겼고 연 매출 4,270만 유로, 직원 448명 규모의 산업으로 성장했습니다. 몇 년마다 새로운 구역을 계속 확장하며 지금도 성장하고 있습니다. 하나의 미니어처 콘텐츠가 도시 관광 산업의 축으로 자랄 수 있음을 실증한 사례입니다.</w:t>
      </w:r>
    </w:p>
    <w:p>
      <w:pPr>
        <w:pStyle w:val="Heading2"/>
        <w:spacing w:after="120" w:before="320"/>
      </w:pPr>
      <w:r>
        <w:rPr>
          <w:b/>
          <w:bCs/>
          <w:color w:val="1F2A44"/>
          <w:sz w:val="24"/>
          <w:szCs w:val="24"/>
        </w:rPr>
        <w:t xml:space="preserve">2.3 광주 지역 여가 인프라 공백</w:t>
      </w:r>
    </w:p>
    <w:p>
      <w:pPr>
        <w:spacing w:after="180" w:line="320"/>
      </w:pPr>
      <w:r>
        <w:rPr>
          <w:color w:val="222222"/>
          <w:sz w:val="21"/>
          <w:szCs w:val="21"/>
        </w:rPr>
        <w:t xml:space="preserve">거점 예정지인 광주로 좁히면 공백은 더욱 뚜렷합니다. 가족 단위로 반복 방문할 만한 상설 실내 엔터테인먼트 시설은 사실상 한 곳으로 좁혀지며, 그 외 자연·문화 명소는 날씨에 좌우되거나 관람·산책에 가까운 성격입니다. 전국 단위의 시장 성장과 지역 단위의 실질적 공백이 겹치는 지점에서 디오월드는 출발합니다.</w:t>
      </w:r>
    </w:p>
    <w:p>
      <w:pPr>
        <w:pStyle w:val="Heading1"/>
        <w:pBdr>
          <w:bottom w:val="single" w:color="B8952A" w:sz="6" w:space="4"/>
        </w:pBdr>
        <w:spacing w:after="200" w:before="480"/>
      </w:pPr>
      <w:r>
        <w:rPr>
          <w:b/>
          <w:bCs/>
          <w:color w:val="1F2A44"/>
          <w:sz w:val="30"/>
          <w:szCs w:val="30"/>
        </w:rPr>
        <w:t xml:space="preserve">3. 사업 모델</w:t>
      </w:r>
    </w:p>
    <w:p>
      <w:pPr>
        <w:pStyle w:val="Heading2"/>
        <w:spacing w:after="120" w:before="320"/>
      </w:pPr>
      <w:r>
        <w:rPr>
          <w:b/>
          <w:bCs/>
          <w:color w:val="1F2A44"/>
          <w:sz w:val="24"/>
          <w:szCs w:val="24"/>
        </w:rPr>
        <w:t xml:space="preserve">3.1 컨셉 및 차별화 전략</w:t>
      </w:r>
    </w:p>
    <w:p>
      <w:pPr>
        <w:pStyle w:val="ListParagraph"/>
        <w:numPr>
          <w:ilvl w:val="0"/>
          <w:numId w:val="2"/>
        </w:numPr>
        <w:spacing w:after="100" w:line="300"/>
      </w:pPr>
      <w:r>
        <w:rPr>
          <w:color w:val="222222"/>
          <w:sz w:val="21"/>
          <w:szCs w:val="21"/>
        </w:rPr>
        <w:t xml:space="preserve">구동 — 밤낮이 전환되는 조명, 실제로 달리는 레이싱카 등 살아 움직이는 미니어처 세계</w:t>
      </w:r>
    </w:p>
    <w:p>
      <w:pPr>
        <w:pStyle w:val="ListParagraph"/>
        <w:numPr>
          <w:ilvl w:val="0"/>
          <w:numId w:val="2"/>
        </w:numPr>
        <w:spacing w:after="100" w:line="300"/>
      </w:pPr>
      <w:r>
        <w:rPr>
          <w:color w:val="222222"/>
          <w:sz w:val="21"/>
          <w:szCs w:val="21"/>
        </w:rPr>
        <w:t xml:space="preserve">참여 — 관람에 그치지 않고 방문객이 직접 중장비를 조종하는 체험형 구성</w:t>
      </w:r>
    </w:p>
    <w:p>
      <w:pPr>
        <w:pStyle w:val="ListParagraph"/>
        <w:numPr>
          <w:ilvl w:val="0"/>
          <w:numId w:val="2"/>
        </w:numPr>
        <w:spacing w:after="100" w:line="300"/>
      </w:pPr>
      <w:r>
        <w:rPr>
          <w:color w:val="222222"/>
          <w:sz w:val="21"/>
          <w:szCs w:val="21"/>
        </w:rPr>
        <w:t xml:space="preserve">확장 — 신규 존이 순차적으로 공개되는 구조 자체가 재방문의 이유가 되는 설계</w:t>
      </w:r>
    </w:p>
    <w:p>
      <w:pPr>
        <w:pStyle w:val="Heading2"/>
        <w:spacing w:after="120" w:before="320"/>
      </w:pPr>
      <w:r>
        <w:rPr>
          <w:b/>
          <w:bCs/>
          <w:color w:val="1F2A44"/>
          <w:sz w:val="24"/>
          <w:szCs w:val="24"/>
        </w:rPr>
        <w:t xml:space="preserve">3.2 공간 구성</w:t>
      </w:r>
    </w:p>
    <w:p>
      <w:pPr>
        <w:pStyle w:val="ListParagraph"/>
        <w:numPr>
          <w:ilvl w:val="0"/>
          <w:numId w:val="2"/>
        </w:numPr>
        <w:spacing w:after="100" w:line="300"/>
      </w:pPr>
      <w:r>
        <w:rPr>
          <w:color w:val="222222"/>
          <w:sz w:val="21"/>
          <w:szCs w:val="21"/>
        </w:rPr>
        <w:t xml:space="preserve">중심 카페존 — 음료와 디저트·간식류를 함께 판매하는 공간으로, 전 방문객 대상 기본 매출이 발생합니다</w:t>
      </w:r>
    </w:p>
    <w:p>
      <w:pPr>
        <w:pStyle w:val="ListParagraph"/>
        <w:numPr>
          <w:ilvl w:val="0"/>
          <w:numId w:val="2"/>
        </w:numPr>
        <w:spacing w:after="100" w:line="300"/>
      </w:pPr>
      <w:r>
        <w:rPr>
          <w:color w:val="222222"/>
          <w:sz w:val="21"/>
          <w:szCs w:val="21"/>
        </w:rPr>
        <w:t xml:space="preserve">레이싱시티존 — 해안 시가지를 모티프로 한 스트리트 서킷형 미니어처 도시</w:t>
      </w:r>
    </w:p>
    <w:p>
      <w:pPr>
        <w:pStyle w:val="ListParagraph"/>
        <w:numPr>
          <w:ilvl w:val="0"/>
          <w:numId w:val="2"/>
        </w:numPr>
        <w:spacing w:after="100" w:line="300"/>
      </w:pPr>
      <w:r>
        <w:rPr>
          <w:color w:val="222222"/>
          <w:sz w:val="21"/>
          <w:szCs w:val="21"/>
        </w:rPr>
        <w:t xml:space="preserve">중장비 체험존 — 실제 흙을 기반으로 방문객이 직접 조종하는 체험형 구역</w:t>
      </w:r>
    </w:p>
    <w:p>
      <w:pPr>
        <w:pStyle w:val="ListParagraph"/>
        <w:numPr>
          <w:ilvl w:val="0"/>
          <w:numId w:val="2"/>
        </w:numPr>
        <w:spacing w:after="100" w:line="300"/>
      </w:pPr>
      <w:r>
        <w:rPr>
          <w:color w:val="222222"/>
          <w:sz w:val="21"/>
          <w:szCs w:val="21"/>
        </w:rPr>
        <w:t xml:space="preserve">바다존(2단계) — 폭풍우와 파도가 재현되는 확장 구역</w:t>
      </w:r>
    </w:p>
    <w:p>
      <w:pPr>
        <w:pStyle w:val="ListParagraph"/>
        <w:numPr>
          <w:ilvl w:val="0"/>
          <w:numId w:val="2"/>
        </w:numPr>
        <w:spacing w:after="100" w:line="300"/>
      </w:pPr>
      <w:r>
        <w:rPr>
          <w:color w:val="222222"/>
          <w:sz w:val="21"/>
          <w:szCs w:val="21"/>
        </w:rPr>
        <w:t xml:space="preserve">추가 테마존 — 운영 성과에 따라 순차적으로 검토·추가</w:t>
      </w:r>
    </w:p>
    <w:p>
      <w:pPr>
        <w:pStyle w:val="Heading2"/>
        <w:spacing w:after="120" w:before="320"/>
      </w:pPr>
      <w:r>
        <w:rPr>
          <w:b/>
          <w:bCs/>
          <w:color w:val="1F2A44"/>
          <w:sz w:val="24"/>
          <w:szCs w:val="24"/>
        </w:rPr>
        <w:t xml:space="preserve">3.3 단계적 개장 전략</w:t>
      </w:r>
    </w:p>
    <w:p>
      <w:pPr>
        <w:spacing w:after="180" w:line="320"/>
      </w:pPr>
      <w:r>
        <w:rPr>
          <w:color w:val="222222"/>
          <w:sz w:val="21"/>
          <w:szCs w:val="21"/>
        </w:rPr>
        <w:t xml:space="preserve">전체 완공을 기다렸다가 문을 여는 방식이 아니라, 핵심 존을 먼저 완성해 조기에 개장하고 매출이 발생하는 상태에서 다음 존을 순차적으로 제작합니다. 투자금 전체가 장기간 묶이는 일반적인 공간 사업과 달리 개장 시점부터 현금 흐름이 만들어지며, 이후 확장은 운영 수익이 분담합니다.</w:t>
      </w:r>
    </w:p>
    <w:p>
      <w:pPr>
        <w:pStyle w:val="Heading1"/>
        <w:pBdr>
          <w:bottom w:val="single" w:color="B8952A" w:sz="6" w:space="4"/>
        </w:pBdr>
        <w:spacing w:after="200" w:before="480"/>
      </w:pPr>
      <w:r>
        <w:rPr>
          <w:b/>
          <w:bCs/>
          <w:color w:val="1F2A44"/>
          <w:sz w:val="30"/>
          <w:szCs w:val="30"/>
        </w:rPr>
        <w:t xml:space="preserve">4. 수익 모델</w:t>
      </w:r>
    </w:p>
    <w:p>
      <w:pPr>
        <w:spacing w:after="180" w:line="320"/>
      </w:pPr>
      <w:r>
        <w:rPr>
          <w:color w:val="222222"/>
          <w:sz w:val="21"/>
          <w:szCs w:val="21"/>
        </w:rPr>
        <w:t xml:space="preserve">공간 사업의 구조적 약점은 방문객 감소가 곧 전체 매출 하락으로 이어진다는 점입니다. 디오월드는 이를 방어하기 위해 수익원을 다섯 개의 축으로 분산했습니다.</w:t>
      </w:r>
    </w:p>
    <w:p>
      <w:pPr>
        <w:pStyle w:val="ListParagraph"/>
        <w:numPr>
          <w:ilvl w:val="0"/>
          <w:numId w:val="3"/>
        </w:numPr>
        <w:spacing w:after="120" w:line="300"/>
      </w:pPr>
      <w:r>
        <w:rPr>
          <w:color w:val="222222"/>
          <w:sz w:val="21"/>
          <w:szCs w:val="21"/>
        </w:rPr>
        <w:t xml:space="preserve">체험 수익 — 구동형 미니어처 월드 관람과 중장비 조종 체험. 객단가와 체류시간을 이끄는 핵심 축</w:t>
      </w:r>
    </w:p>
    <w:p>
      <w:pPr>
        <w:pStyle w:val="ListParagraph"/>
        <w:numPr>
          <w:ilvl w:val="0"/>
          <w:numId w:val="3"/>
        </w:numPr>
        <w:spacing w:after="120" w:line="300"/>
      </w:pPr>
      <w:r>
        <w:rPr>
          <w:color w:val="222222"/>
          <w:sz w:val="21"/>
          <w:szCs w:val="21"/>
        </w:rPr>
        <w:t xml:space="preserve">F&amp;B 수익 — 음료와 디저트·간식류를 판매하는 카페존, 전 방문객 대상 기본 매출</w:t>
      </w:r>
    </w:p>
    <w:p>
      <w:pPr>
        <w:pStyle w:val="ListParagraph"/>
        <w:numPr>
          <w:ilvl w:val="0"/>
          <w:numId w:val="3"/>
        </w:numPr>
        <w:spacing w:after="120" w:line="300"/>
      </w:pPr>
      <w:r>
        <w:rPr>
          <w:color w:val="222222"/>
          <w:sz w:val="21"/>
          <w:szCs w:val="21"/>
        </w:rPr>
        <w:t xml:space="preserve">제작 스튜디오 수익 — 자체 제작팀의 내부 콘텐츠 제작과 기업 홍보모형·건축모형 등 외부 수주 병행. 방문객 수와 무관하게 작동하는 독립 수익축</w:t>
      </w:r>
    </w:p>
    <w:p>
      <w:pPr>
        <w:pStyle w:val="ListParagraph"/>
        <w:numPr>
          <w:ilvl w:val="0"/>
          <w:numId w:val="3"/>
        </w:numPr>
        <w:spacing w:after="120" w:line="300"/>
      </w:pPr>
      <w:r>
        <w:rPr>
          <w:color w:val="222222"/>
          <w:sz w:val="21"/>
          <w:szCs w:val="21"/>
        </w:rPr>
        <w:t xml:space="preserve">IP·굿즈 수익 — 자체 세계관 기반 한정판 미니어처 및 굿즈 판매</w:t>
      </w:r>
    </w:p>
    <w:p>
      <w:pPr>
        <w:pStyle w:val="ListParagraph"/>
        <w:numPr>
          <w:ilvl w:val="0"/>
          <w:numId w:val="3"/>
        </w:numPr>
        <w:spacing w:after="120" w:line="300"/>
      </w:pPr>
      <w:r>
        <w:rPr>
          <w:color w:val="222222"/>
          <w:sz w:val="21"/>
          <w:szCs w:val="21"/>
        </w:rPr>
        <w:t xml:space="preserve">온라인 판매 수익 — 온라인 채널을 통한 전국 판매로 매장 방문이 어려운 고객까지 매출 기반 확장</w:t>
      </w:r>
    </w:p>
    <w:p>
      <w:pPr>
        <w:pStyle w:val="Heading1"/>
        <w:pBdr>
          <w:bottom w:val="single" w:color="B8952A" w:sz="6" w:space="4"/>
        </w:pBdr>
        <w:spacing w:after="200" w:before="480"/>
      </w:pPr>
      <w:r>
        <w:rPr>
          <w:b/>
          <w:bCs/>
          <w:color w:val="1F2A44"/>
          <w:sz w:val="30"/>
          <w:szCs w:val="30"/>
        </w:rPr>
        <w:t xml:space="preserve">5. 재무 계획</w:t>
      </w:r>
    </w:p>
    <w:p>
      <w:pPr>
        <w:pStyle w:val="Heading2"/>
        <w:spacing w:after="120" w:before="320"/>
      </w:pPr>
      <w:r>
        <w:rPr>
          <w:b/>
          <w:bCs/>
          <w:color w:val="1F2A44"/>
          <w:sz w:val="24"/>
          <w:szCs w:val="24"/>
        </w:rPr>
        <w:t xml:space="preserve">5.1 필요 자금 및 사용 계획</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2200"/>
        <w:gridCol w:w="4226"/>
      </w:tblGrid>
      <w:tr>
        <w:trPr>
          <w:cantSplit/>
        </w:trPr>
        <w:tc>
          <w:tcPr>
            <w:tcW w:type="dxa" w:w="2600"/>
            <w:shd w:fill="1F2A44" w:color="auto" w:val="clear"/>
            <w:tcMar>
              <w:top w:type="dxa" w:w="100"/>
              <w:left w:type="dxa" w:w="120"/>
              <w:bottom w:type="dxa" w:w="100"/>
              <w:right w:type="dxa" w:w="120"/>
            </w:tcMar>
            <w:vAlign w:val="center"/>
          </w:tcPr>
          <w:p>
            <w:pPr>
              <w:jc w:val="left"/>
            </w:pPr>
            <w:r>
              <w:rPr>
                <w:b/>
                <w:bCs/>
                <w:color w:val="FFFFFF"/>
                <w:sz w:val="20"/>
                <w:szCs w:val="20"/>
              </w:rPr>
              <w:t xml:space="preserve">항목</w:t>
            </w:r>
          </w:p>
        </w:tc>
        <w:tc>
          <w:tcPr>
            <w:tcW w:type="dxa" w:w="2200"/>
            <w:shd w:fill="1F2A44" w:color="auto" w:val="clear"/>
            <w:tcMar>
              <w:top w:type="dxa" w:w="100"/>
              <w:left w:type="dxa" w:w="120"/>
              <w:bottom w:type="dxa" w:w="100"/>
              <w:right w:type="dxa" w:w="120"/>
            </w:tcMar>
            <w:vAlign w:val="center"/>
          </w:tcPr>
          <w:p>
            <w:pPr>
              <w:jc w:val="center"/>
            </w:pPr>
            <w:r>
              <w:rPr>
                <w:b/>
                <w:bCs/>
                <w:color w:val="FFFFFF"/>
                <w:sz w:val="20"/>
                <w:szCs w:val="20"/>
              </w:rPr>
              <w:t xml:space="preserve">예상 금액</w:t>
            </w:r>
          </w:p>
        </w:tc>
        <w:tc>
          <w:tcPr>
            <w:tcW w:type="dxa" w:w="4226"/>
            <w:shd w:fill="1F2A44" w:color="auto" w:val="clear"/>
            <w:tcMar>
              <w:top w:type="dxa" w:w="100"/>
              <w:left w:type="dxa" w:w="120"/>
              <w:bottom w:type="dxa" w:w="100"/>
              <w:right w:type="dxa" w:w="120"/>
            </w:tcMar>
            <w:vAlign w:val="center"/>
          </w:tcPr>
          <w:p>
            <w:pPr>
              <w:jc w:val="left"/>
            </w:pPr>
            <w:r>
              <w:rPr>
                <w:b/>
                <w:bCs/>
                <w:color w:val="FFFFFF"/>
                <w:sz w:val="20"/>
                <w:szCs w:val="20"/>
              </w:rPr>
              <w:t xml:space="preserve">비고</w:t>
            </w:r>
          </w:p>
        </w:tc>
      </w:tr>
      <w:tr>
        <w:trPr>
          <w:cantSplit/>
        </w:trPr>
        <w:tc>
          <w:tcPr>
            <w:tcW w:type="dxa" w:w="2600"/>
            <w:tcMar>
              <w:top w:type="dxa" w:w="100"/>
              <w:left w:type="dxa" w:w="120"/>
              <w:bottom w:type="dxa" w:w="100"/>
              <w:right w:type="dxa" w:w="120"/>
            </w:tcMar>
            <w:vAlign w:val="center"/>
          </w:tcPr>
          <w:p>
            <w:pPr>
              <w:jc w:val="left"/>
            </w:pPr>
            <w:r>
              <w:rPr>
                <w:b w:val="false"/>
                <w:bCs w:val="false"/>
                <w:color w:val="222222"/>
                <w:sz w:val="20"/>
                <w:szCs w:val="20"/>
              </w:rPr>
              <w:t xml:space="preserve">부지 임대보증금</w:t>
            </w:r>
          </w:p>
        </w:tc>
        <w:tc>
          <w:tcPr>
            <w:tcW w:type="dxa" w:w="2200"/>
            <w:tcMar>
              <w:top w:type="dxa" w:w="100"/>
              <w:left w:type="dxa" w:w="120"/>
              <w:bottom w:type="dxa" w:w="100"/>
              <w:right w:type="dxa" w:w="120"/>
            </w:tcMar>
            <w:vAlign w:val="center"/>
          </w:tcPr>
          <w:p>
            <w:pPr>
              <w:jc w:val="center"/>
            </w:pPr>
            <w:r>
              <w:rPr>
                <w:b w:val="false"/>
                <w:bCs w:val="false"/>
                <w:color w:val="222222"/>
                <w:sz w:val="20"/>
                <w:szCs w:val="20"/>
              </w:rPr>
              <w:t xml:space="preserve">1억 ~ 1.3억</w:t>
            </w:r>
          </w:p>
        </w:tc>
        <w:tc>
          <w:tcPr>
            <w:tcW w:type="dxa" w:w="4226"/>
            <w:tcMar>
              <w:top w:type="dxa" w:w="100"/>
              <w:left w:type="dxa" w:w="120"/>
              <w:bottom w:type="dxa" w:w="100"/>
              <w:right w:type="dxa" w:w="120"/>
            </w:tcMar>
            <w:vAlign w:val="center"/>
          </w:tcPr>
          <w:p>
            <w:pPr>
              <w:jc w:val="left"/>
            </w:pPr>
            <w:r>
              <w:rPr>
                <w:b w:val="false"/>
                <w:bCs w:val="false"/>
                <w:color w:val="222222"/>
                <w:sz w:val="20"/>
                <w:szCs w:val="20"/>
              </w:rPr>
              <w:t xml:space="preserve">광주 외곽 상권, 100평 이상 기준 (매입 가능 시 매입 우선 검토)</w:t>
            </w:r>
          </w:p>
        </w:tc>
      </w:tr>
      <w:tr>
        <w:trPr>
          <w:cantSplit/>
        </w:trPr>
        <w:tc>
          <w:tcPr>
            <w:tcW w:type="dxa" w:w="2600"/>
            <w:tcMar>
              <w:top w:type="dxa" w:w="100"/>
              <w:left w:type="dxa" w:w="120"/>
              <w:bottom w:type="dxa" w:w="100"/>
              <w:right w:type="dxa" w:w="120"/>
            </w:tcMar>
            <w:vAlign w:val="center"/>
          </w:tcPr>
          <w:p>
            <w:pPr>
              <w:jc w:val="left"/>
            </w:pPr>
            <w:r>
              <w:rPr>
                <w:b w:val="false"/>
                <w:bCs w:val="false"/>
                <w:color w:val="222222"/>
                <w:sz w:val="20"/>
                <w:szCs w:val="20"/>
              </w:rPr>
              <w:t xml:space="preserve">인테리어 공사</w:t>
            </w:r>
          </w:p>
        </w:tc>
        <w:tc>
          <w:tcPr>
            <w:tcW w:type="dxa" w:w="2200"/>
            <w:tcMar>
              <w:top w:type="dxa" w:w="100"/>
              <w:left w:type="dxa" w:w="120"/>
              <w:bottom w:type="dxa" w:w="100"/>
              <w:right w:type="dxa" w:w="120"/>
            </w:tcMar>
            <w:vAlign w:val="center"/>
          </w:tcPr>
          <w:p>
            <w:pPr>
              <w:jc w:val="center"/>
            </w:pPr>
            <w:r>
              <w:rPr>
                <w:b w:val="false"/>
                <w:bCs w:val="false"/>
                <w:color w:val="222222"/>
                <w:sz w:val="20"/>
                <w:szCs w:val="20"/>
              </w:rPr>
              <w:t xml:space="preserve">1.5억 ~ 2억</w:t>
            </w:r>
          </w:p>
        </w:tc>
        <w:tc>
          <w:tcPr>
            <w:tcW w:type="dxa" w:w="4226"/>
            <w:tcMar>
              <w:top w:type="dxa" w:w="100"/>
              <w:left w:type="dxa" w:w="120"/>
              <w:bottom w:type="dxa" w:w="100"/>
              <w:right w:type="dxa" w:w="120"/>
            </w:tcMar>
            <w:vAlign w:val="center"/>
          </w:tcPr>
          <w:p>
            <w:pPr>
              <w:jc w:val="left"/>
            </w:pPr>
            <w:r>
              <w:rPr>
                <w:b w:val="false"/>
                <w:bCs w:val="false"/>
                <w:color w:val="222222"/>
                <w:sz w:val="20"/>
                <w:szCs w:val="20"/>
              </w:rPr>
              <w:t xml:space="preserve">구조 중심의 실속형 시공</w:t>
            </w:r>
          </w:p>
        </w:tc>
      </w:tr>
      <w:tr>
        <w:trPr>
          <w:cantSplit/>
        </w:trPr>
        <w:tc>
          <w:tcPr>
            <w:tcW w:type="dxa" w:w="2600"/>
            <w:tcMar>
              <w:top w:type="dxa" w:w="100"/>
              <w:left w:type="dxa" w:w="120"/>
              <w:bottom w:type="dxa" w:w="100"/>
              <w:right w:type="dxa" w:w="120"/>
            </w:tcMar>
            <w:vAlign w:val="center"/>
          </w:tcPr>
          <w:p>
            <w:pPr>
              <w:jc w:val="left"/>
            </w:pPr>
            <w:r>
              <w:rPr>
                <w:b w:val="false"/>
                <w:bCs w:val="false"/>
                <w:color w:val="222222"/>
                <w:sz w:val="20"/>
                <w:szCs w:val="20"/>
              </w:rPr>
              <w:t xml:space="preserve">제작팀 인건비·재료비</w:t>
            </w:r>
          </w:p>
        </w:tc>
        <w:tc>
          <w:tcPr>
            <w:tcW w:type="dxa" w:w="2200"/>
            <w:tcMar>
              <w:top w:type="dxa" w:w="100"/>
              <w:left w:type="dxa" w:w="120"/>
              <w:bottom w:type="dxa" w:w="100"/>
              <w:right w:type="dxa" w:w="120"/>
            </w:tcMar>
            <w:vAlign w:val="center"/>
          </w:tcPr>
          <w:p>
            <w:pPr>
              <w:jc w:val="center"/>
            </w:pPr>
            <w:r>
              <w:rPr>
                <w:b w:val="false"/>
                <w:bCs w:val="false"/>
                <w:color w:val="222222"/>
                <w:sz w:val="20"/>
                <w:szCs w:val="20"/>
              </w:rPr>
              <w:t xml:space="preserve">0.75억 ~ 1.4억</w:t>
            </w:r>
          </w:p>
        </w:tc>
        <w:tc>
          <w:tcPr>
            <w:tcW w:type="dxa" w:w="4226"/>
            <w:tcMar>
              <w:top w:type="dxa" w:w="100"/>
              <w:left w:type="dxa" w:w="120"/>
              <w:bottom w:type="dxa" w:w="100"/>
              <w:right w:type="dxa" w:w="120"/>
            </w:tcMar>
            <w:vAlign w:val="center"/>
          </w:tcPr>
          <w:p>
            <w:pPr>
              <w:jc w:val="left"/>
            </w:pPr>
            <w:r>
              <w:rPr>
                <w:b w:val="false"/>
                <w:bCs w:val="false"/>
                <w:color w:val="222222"/>
                <w:sz w:val="20"/>
                <w:szCs w:val="20"/>
              </w:rPr>
              <w:t xml:space="preserve">자체 제작팀 구성, 외주 대비 원가 절감</w:t>
            </w:r>
          </w:p>
        </w:tc>
      </w:tr>
      <w:tr>
        <w:trPr>
          <w:cantSplit/>
        </w:trPr>
        <w:tc>
          <w:tcPr>
            <w:tcW w:type="dxa" w:w="2600"/>
            <w:tcMar>
              <w:top w:type="dxa" w:w="100"/>
              <w:left w:type="dxa" w:w="120"/>
              <w:bottom w:type="dxa" w:w="100"/>
              <w:right w:type="dxa" w:w="120"/>
            </w:tcMar>
            <w:vAlign w:val="center"/>
          </w:tcPr>
          <w:p>
            <w:pPr>
              <w:jc w:val="left"/>
            </w:pPr>
            <w:r>
              <w:rPr>
                <w:b w:val="false"/>
                <w:bCs w:val="false"/>
                <w:color w:val="222222"/>
                <w:sz w:val="20"/>
                <w:szCs w:val="20"/>
              </w:rPr>
              <w:t xml:space="preserve">집기·비품·간판</w:t>
            </w:r>
          </w:p>
        </w:tc>
        <w:tc>
          <w:tcPr>
            <w:tcW w:type="dxa" w:w="2200"/>
            <w:tcMar>
              <w:top w:type="dxa" w:w="100"/>
              <w:left w:type="dxa" w:w="120"/>
              <w:bottom w:type="dxa" w:w="100"/>
              <w:right w:type="dxa" w:w="120"/>
            </w:tcMar>
            <w:vAlign w:val="center"/>
          </w:tcPr>
          <w:p>
            <w:pPr>
              <w:jc w:val="center"/>
            </w:pPr>
            <w:r>
              <w:rPr>
                <w:b w:val="false"/>
                <w:bCs w:val="false"/>
                <w:color w:val="222222"/>
                <w:sz w:val="20"/>
                <w:szCs w:val="20"/>
              </w:rPr>
              <w:t xml:space="preserve">0.3억 ~ 0.5억</w:t>
            </w:r>
          </w:p>
        </w:tc>
        <w:tc>
          <w:tcPr>
            <w:tcW w:type="dxa" w:w="4226"/>
            <w:tcMar>
              <w:top w:type="dxa" w:w="100"/>
              <w:left w:type="dxa" w:w="120"/>
              <w:bottom w:type="dxa" w:w="100"/>
              <w:right w:type="dxa" w:w="120"/>
            </w:tcMar>
            <w:vAlign w:val="center"/>
          </w:tcPr>
          <w:p>
            <w:pPr>
              <w:jc w:val="left"/>
            </w:pPr>
            <w:r>
              <w:rPr>
                <w:b w:val="false"/>
                <w:bCs w:val="false"/>
                <w:color w:val="222222"/>
                <w:sz w:val="20"/>
                <w:szCs w:val="20"/>
              </w:rPr>
              <w:t xml:space="preserve">카페 및 매표 운영 설비</w:t>
            </w:r>
          </w:p>
        </w:tc>
      </w:tr>
      <w:tr>
        <w:trPr>
          <w:cantSplit/>
        </w:trPr>
        <w:tc>
          <w:tcPr>
            <w:tcW w:type="dxa" w:w="2600"/>
            <w:tcMar>
              <w:top w:type="dxa" w:w="100"/>
              <w:left w:type="dxa" w:w="120"/>
              <w:bottom w:type="dxa" w:w="100"/>
              <w:right w:type="dxa" w:w="120"/>
            </w:tcMar>
            <w:vAlign w:val="center"/>
          </w:tcPr>
          <w:p>
            <w:pPr>
              <w:jc w:val="left"/>
            </w:pPr>
            <w:r>
              <w:rPr>
                <w:b w:val="false"/>
                <w:bCs w:val="false"/>
                <w:color w:val="222222"/>
                <w:sz w:val="20"/>
                <w:szCs w:val="20"/>
              </w:rPr>
              <w:t xml:space="preserve">초기 운영 예비자금</w:t>
            </w:r>
          </w:p>
        </w:tc>
        <w:tc>
          <w:tcPr>
            <w:tcW w:type="dxa" w:w="2200"/>
            <w:tcMar>
              <w:top w:type="dxa" w:w="100"/>
              <w:left w:type="dxa" w:w="120"/>
              <w:bottom w:type="dxa" w:w="100"/>
              <w:right w:type="dxa" w:w="120"/>
            </w:tcMar>
            <w:vAlign w:val="center"/>
          </w:tcPr>
          <w:p>
            <w:pPr>
              <w:jc w:val="center"/>
            </w:pPr>
            <w:r>
              <w:rPr>
                <w:b w:val="false"/>
                <w:bCs w:val="false"/>
                <w:color w:val="222222"/>
                <w:sz w:val="20"/>
                <w:szCs w:val="20"/>
              </w:rPr>
              <w:t xml:space="preserve">0.6억 ~ 0.72억</w:t>
            </w:r>
          </w:p>
        </w:tc>
        <w:tc>
          <w:tcPr>
            <w:tcW w:type="dxa" w:w="4226"/>
            <w:tcMar>
              <w:top w:type="dxa" w:w="100"/>
              <w:left w:type="dxa" w:w="120"/>
              <w:bottom w:type="dxa" w:w="100"/>
              <w:right w:type="dxa" w:w="120"/>
            </w:tcMar>
            <w:vAlign w:val="center"/>
          </w:tcPr>
          <w:p>
            <w:pPr>
              <w:jc w:val="left"/>
            </w:pPr>
            <w:r>
              <w:rPr>
                <w:b w:val="false"/>
                <w:bCs w:val="false"/>
                <w:color w:val="222222"/>
                <w:sz w:val="20"/>
                <w:szCs w:val="20"/>
              </w:rPr>
              <w:t xml:space="preserve">개장 초기 약 3개월분</w:t>
            </w:r>
          </w:p>
        </w:tc>
      </w:tr>
      <w:tr>
        <w:trPr>
          <w:cantSplit/>
        </w:trPr>
        <w:tc>
          <w:tcPr>
            <w:tcW w:type="dxa" w:w="2600"/>
            <w:shd w:fill="1F2A44" w:color="auto" w:val="clear"/>
            <w:tcMar>
              <w:top w:type="dxa" w:w="100"/>
              <w:left w:type="dxa" w:w="120"/>
              <w:bottom w:type="dxa" w:w="100"/>
              <w:right w:type="dxa" w:w="120"/>
            </w:tcMar>
            <w:vAlign w:val="center"/>
          </w:tcPr>
          <w:p>
            <w:pPr>
              <w:jc w:val="left"/>
            </w:pPr>
            <w:r>
              <w:rPr>
                <w:b/>
                <w:bCs/>
                <w:color w:val="FFFFFF"/>
                <w:sz w:val="20"/>
                <w:szCs w:val="20"/>
              </w:rPr>
              <w:t xml:space="preserve">합계</w:t>
            </w:r>
          </w:p>
        </w:tc>
        <w:tc>
          <w:tcPr>
            <w:tcW w:type="dxa" w:w="2200"/>
            <w:shd w:fill="1F2A44" w:color="auto" w:val="clear"/>
            <w:tcMar>
              <w:top w:type="dxa" w:w="100"/>
              <w:left w:type="dxa" w:w="120"/>
              <w:bottom w:type="dxa" w:w="100"/>
              <w:right w:type="dxa" w:w="120"/>
            </w:tcMar>
            <w:vAlign w:val="center"/>
          </w:tcPr>
          <w:p>
            <w:pPr>
              <w:jc w:val="center"/>
            </w:pPr>
            <w:r>
              <w:rPr>
                <w:b/>
                <w:bCs/>
                <w:color w:val="FFFFFF"/>
                <w:sz w:val="20"/>
                <w:szCs w:val="20"/>
              </w:rPr>
              <w:t xml:space="preserve">약 4.15억 ~ 5.92억</w:t>
            </w:r>
          </w:p>
        </w:tc>
        <w:tc>
          <w:tcPr>
            <w:tcW w:type="dxa" w:w="4226"/>
            <w:shd w:fill="1F2A44" w:color="auto" w:val="clear"/>
            <w:tcMar>
              <w:top w:type="dxa" w:w="100"/>
              <w:left w:type="dxa" w:w="120"/>
              <w:bottom w:type="dxa" w:w="100"/>
              <w:right w:type="dxa" w:w="120"/>
            </w:tcMar>
            <w:vAlign w:val="center"/>
          </w:tcPr>
          <w:p>
            <w:pPr>
              <w:jc w:val="left"/>
            </w:pPr>
            <w:r>
              <w:rPr>
                <w:b/>
                <w:bCs/>
                <w:color w:val="FFFFFF"/>
                <w:sz w:val="20"/>
                <w:szCs w:val="20"/>
              </w:rPr>
              <w:t xml:space="preserve">초기 목표 투자 규모: 5억 원 이상</w:t>
            </w:r>
          </w:p>
        </w:tc>
      </w:tr>
    </w:tbl>
    <w:p>
      <w:pPr>
        <w:spacing w:after="180" w:line="320"/>
      </w:pPr>
      <w:r>
        <w:rPr>
          <w:i/>
          <w:iCs/>
          <w:color w:val="595959"/>
          <w:sz w:val="18"/>
          <w:szCs w:val="18"/>
        </w:rPr>
        <w:t xml:space="preserve">※ 상기 금액은 100평 내외, 자체 제작팀 운영을 전제로 한 추정치이며, 부지 계약 조건 확정 시 세부 조정됩니다. 부지는 매입이 가능한 경우 우선적으로 검토하며, 여의치 않을 경우 임대로 진행합니다.</w:t>
      </w:r>
    </w:p>
    <w:p>
      <w:pPr>
        <w:pStyle w:val="Heading2"/>
        <w:spacing w:after="120" w:before="320"/>
      </w:pPr>
      <w:r>
        <w:rPr>
          <w:b/>
          <w:bCs/>
          <w:color w:val="1F2A44"/>
          <w:sz w:val="24"/>
          <w:szCs w:val="24"/>
        </w:rPr>
        <w:t xml:space="preserve">5.2 수익 시나리오 (개장 초기 기준)</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1800"/>
        <w:gridCol w:w="1800"/>
        <w:gridCol w:w="1800"/>
        <w:gridCol w:w="2026"/>
      </w:tblGrid>
      <w:tr>
        <w:trPr>
          <w:cantSplit/>
        </w:trPr>
        <w:tc>
          <w:tcPr>
            <w:tcW w:type="dxa" w:w="1600"/>
            <w:shd w:fill="1F2A44" w:color="auto" w:val="clear"/>
            <w:tcMar>
              <w:top w:type="dxa" w:w="100"/>
              <w:left w:type="dxa" w:w="120"/>
              <w:bottom w:type="dxa" w:w="100"/>
              <w:right w:type="dxa" w:w="120"/>
            </w:tcMar>
            <w:vAlign w:val="center"/>
          </w:tcPr>
          <w:p>
            <w:pPr>
              <w:jc w:val="center"/>
            </w:pPr>
            <w:r>
              <w:rPr>
                <w:b/>
                <w:bCs/>
                <w:color w:val="FFFFFF"/>
                <w:sz w:val="20"/>
                <w:szCs w:val="20"/>
              </w:rPr>
              <w:t xml:space="preserve">구분</w:t>
            </w:r>
          </w:p>
        </w:tc>
        <w:tc>
          <w:tcPr>
            <w:tcW w:type="dxa" w:w="1800"/>
            <w:shd w:fill="1F2A44" w:color="auto" w:val="clear"/>
            <w:tcMar>
              <w:top w:type="dxa" w:w="100"/>
              <w:left w:type="dxa" w:w="120"/>
              <w:bottom w:type="dxa" w:w="100"/>
              <w:right w:type="dxa" w:w="120"/>
            </w:tcMar>
            <w:vAlign w:val="center"/>
          </w:tcPr>
          <w:p>
            <w:pPr>
              <w:jc w:val="center"/>
            </w:pPr>
            <w:r>
              <w:rPr>
                <w:b/>
                <w:bCs/>
                <w:color w:val="FFFFFF"/>
                <w:sz w:val="20"/>
                <w:szCs w:val="20"/>
              </w:rPr>
              <w:t xml:space="preserve">일 평균 매출</w:t>
            </w:r>
          </w:p>
        </w:tc>
        <w:tc>
          <w:tcPr>
            <w:tcW w:type="dxa" w:w="1800"/>
            <w:shd w:fill="1F2A44" w:color="auto" w:val="clear"/>
            <w:tcMar>
              <w:top w:type="dxa" w:w="100"/>
              <w:left w:type="dxa" w:w="120"/>
              <w:bottom w:type="dxa" w:w="100"/>
              <w:right w:type="dxa" w:w="120"/>
            </w:tcMar>
            <w:vAlign w:val="center"/>
          </w:tcPr>
          <w:p>
            <w:pPr>
              <w:jc w:val="center"/>
            </w:pPr>
            <w:r>
              <w:rPr>
                <w:b/>
                <w:bCs/>
                <w:color w:val="FFFFFF"/>
                <w:sz w:val="20"/>
                <w:szCs w:val="20"/>
              </w:rPr>
              <w:t xml:space="preserve">월 매출</w:t>
            </w:r>
          </w:p>
        </w:tc>
        <w:tc>
          <w:tcPr>
            <w:tcW w:type="dxa" w:w="1800"/>
            <w:shd w:fill="1F2A44" w:color="auto" w:val="clear"/>
            <w:tcMar>
              <w:top w:type="dxa" w:w="100"/>
              <w:left w:type="dxa" w:w="120"/>
              <w:bottom w:type="dxa" w:w="100"/>
              <w:right w:type="dxa" w:w="120"/>
            </w:tcMar>
            <w:vAlign w:val="center"/>
          </w:tcPr>
          <w:p>
            <w:pPr>
              <w:jc w:val="center"/>
            </w:pPr>
            <w:r>
              <w:rPr>
                <w:b/>
                <w:bCs/>
                <w:color w:val="FFFFFF"/>
                <w:sz w:val="20"/>
                <w:szCs w:val="20"/>
              </w:rPr>
              <w:t xml:space="preserve">월 고정비</w:t>
            </w:r>
          </w:p>
        </w:tc>
        <w:tc>
          <w:tcPr>
            <w:tcW w:type="dxa" w:w="2026"/>
            <w:shd w:fill="1F2A44" w:color="auto" w:val="clear"/>
            <w:tcMar>
              <w:top w:type="dxa" w:w="100"/>
              <w:left w:type="dxa" w:w="120"/>
              <w:bottom w:type="dxa" w:w="100"/>
              <w:right w:type="dxa" w:w="120"/>
            </w:tcMar>
            <w:vAlign w:val="center"/>
          </w:tcPr>
          <w:p>
            <w:pPr>
              <w:jc w:val="center"/>
            </w:pPr>
            <w:r>
              <w:rPr>
                <w:b/>
                <w:bCs/>
                <w:color w:val="FFFFFF"/>
                <w:sz w:val="20"/>
                <w:szCs w:val="20"/>
              </w:rPr>
              <w:t xml:space="preserve">월 순이익</w:t>
            </w:r>
          </w:p>
        </w:tc>
      </w:tr>
      <w:tr>
        <w:trPr>
          <w:cantSplit/>
        </w:trPr>
        <w:tc>
          <w:tcPr>
            <w:tcW w:type="dxa" w:w="1600"/>
            <w:tcMar>
              <w:top w:type="dxa" w:w="100"/>
              <w:left w:type="dxa" w:w="120"/>
              <w:bottom w:type="dxa" w:w="100"/>
              <w:right w:type="dxa" w:w="120"/>
            </w:tcMar>
            <w:vAlign w:val="center"/>
          </w:tcPr>
          <w:p>
            <w:pPr>
              <w:jc w:val="center"/>
            </w:pPr>
            <w:r>
              <w:rPr>
                <w:b w:val="false"/>
                <w:bCs w:val="false"/>
                <w:color w:val="222222"/>
                <w:sz w:val="20"/>
                <w:szCs w:val="20"/>
              </w:rPr>
              <w:t xml:space="preserve">보수</w:t>
            </w:r>
          </w:p>
        </w:tc>
        <w:tc>
          <w:tcPr>
            <w:tcW w:type="dxa" w:w="1800"/>
            <w:tcMar>
              <w:top w:type="dxa" w:w="100"/>
              <w:left w:type="dxa" w:w="120"/>
              <w:bottom w:type="dxa" w:w="100"/>
              <w:right w:type="dxa" w:w="120"/>
            </w:tcMar>
            <w:vAlign w:val="center"/>
          </w:tcPr>
          <w:p>
            <w:pPr>
              <w:jc w:val="center"/>
            </w:pPr>
            <w:r>
              <w:rPr>
                <w:b w:val="false"/>
                <w:bCs w:val="false"/>
                <w:color w:val="222222"/>
                <w:sz w:val="20"/>
                <w:szCs w:val="20"/>
              </w:rPr>
              <w:t xml:space="preserve">약 130만원</w:t>
            </w:r>
          </w:p>
        </w:tc>
        <w:tc>
          <w:tcPr>
            <w:tcW w:type="dxa" w:w="1800"/>
            <w:tcMar>
              <w:top w:type="dxa" w:w="100"/>
              <w:left w:type="dxa" w:w="120"/>
              <w:bottom w:type="dxa" w:w="100"/>
              <w:right w:type="dxa" w:w="120"/>
            </w:tcMar>
            <w:vAlign w:val="center"/>
          </w:tcPr>
          <w:p>
            <w:pPr>
              <w:jc w:val="center"/>
            </w:pPr>
            <w:r>
              <w:rPr>
                <w:b w:val="false"/>
                <w:bCs w:val="false"/>
                <w:color w:val="222222"/>
                <w:sz w:val="20"/>
                <w:szCs w:val="20"/>
              </w:rPr>
              <w:t xml:space="preserve">약 3,380만원</w:t>
            </w:r>
          </w:p>
        </w:tc>
        <w:tc>
          <w:tcPr>
            <w:tcW w:type="dxa" w:w="1800"/>
            <w:tcMar>
              <w:top w:type="dxa" w:w="100"/>
              <w:left w:type="dxa" w:w="120"/>
              <w:bottom w:type="dxa" w:w="100"/>
              <w:right w:type="dxa" w:w="120"/>
            </w:tcMar>
            <w:vAlign w:val="center"/>
          </w:tcPr>
          <w:p>
            <w:pPr>
              <w:jc w:val="center"/>
            </w:pPr>
            <w:r>
              <w:rPr>
                <w:b w:val="false"/>
                <w:bCs w:val="false"/>
                <w:color w:val="222222"/>
                <w:sz w:val="20"/>
                <w:szCs w:val="20"/>
              </w:rPr>
              <w:t xml:space="preserve">약 3,500~4,200만원</w:t>
            </w:r>
          </w:p>
        </w:tc>
        <w:tc>
          <w:tcPr>
            <w:tcW w:type="dxa" w:w="2026"/>
            <w:tcMar>
              <w:top w:type="dxa" w:w="100"/>
              <w:left w:type="dxa" w:w="120"/>
              <w:bottom w:type="dxa" w:w="100"/>
              <w:right w:type="dxa" w:w="120"/>
            </w:tcMar>
            <w:vAlign w:val="center"/>
          </w:tcPr>
          <w:p>
            <w:pPr>
              <w:jc w:val="center"/>
            </w:pPr>
            <w:r>
              <w:rPr>
                <w:b w:val="false"/>
                <w:bCs w:val="false"/>
                <w:color w:val="222222"/>
                <w:sz w:val="20"/>
                <w:szCs w:val="20"/>
              </w:rPr>
              <w:t xml:space="preserve">손익분기 부근</w:t>
            </w:r>
          </w:p>
        </w:tc>
      </w:tr>
      <w:tr>
        <w:trPr>
          <w:cantSplit/>
        </w:trPr>
        <w:tc>
          <w:tcPr>
            <w:tcW w:type="dxa" w:w="1600"/>
            <w:tcMar>
              <w:top w:type="dxa" w:w="100"/>
              <w:left w:type="dxa" w:w="120"/>
              <w:bottom w:type="dxa" w:w="100"/>
              <w:right w:type="dxa" w:w="120"/>
            </w:tcMar>
            <w:vAlign w:val="center"/>
          </w:tcPr>
          <w:p>
            <w:pPr>
              <w:jc w:val="center"/>
            </w:pPr>
            <w:r>
              <w:rPr>
                <w:b w:val="false"/>
                <w:bCs w:val="false"/>
                <w:color w:val="222222"/>
                <w:sz w:val="20"/>
                <w:szCs w:val="20"/>
              </w:rPr>
              <w:t xml:space="preserve">기본</w:t>
            </w:r>
          </w:p>
        </w:tc>
        <w:tc>
          <w:tcPr>
            <w:tcW w:type="dxa" w:w="1800"/>
            <w:tcMar>
              <w:top w:type="dxa" w:w="100"/>
              <w:left w:type="dxa" w:w="120"/>
              <w:bottom w:type="dxa" w:w="100"/>
              <w:right w:type="dxa" w:w="120"/>
            </w:tcMar>
            <w:vAlign w:val="center"/>
          </w:tcPr>
          <w:p>
            <w:pPr>
              <w:jc w:val="center"/>
            </w:pPr>
            <w:r>
              <w:rPr>
                <w:b w:val="false"/>
                <w:bCs w:val="false"/>
                <w:color w:val="222222"/>
                <w:sz w:val="20"/>
                <w:szCs w:val="20"/>
              </w:rPr>
              <w:t xml:space="preserve">약 200만원</w:t>
            </w:r>
          </w:p>
        </w:tc>
        <w:tc>
          <w:tcPr>
            <w:tcW w:type="dxa" w:w="1800"/>
            <w:tcMar>
              <w:top w:type="dxa" w:w="100"/>
              <w:left w:type="dxa" w:w="120"/>
              <w:bottom w:type="dxa" w:w="100"/>
              <w:right w:type="dxa" w:w="120"/>
            </w:tcMar>
            <w:vAlign w:val="center"/>
          </w:tcPr>
          <w:p>
            <w:pPr>
              <w:jc w:val="center"/>
            </w:pPr>
            <w:r>
              <w:rPr>
                <w:b w:val="false"/>
                <w:bCs w:val="false"/>
                <w:color w:val="222222"/>
                <w:sz w:val="20"/>
                <w:szCs w:val="20"/>
              </w:rPr>
              <w:t xml:space="preserve">약 5,200만원</w:t>
            </w:r>
          </w:p>
        </w:tc>
        <w:tc>
          <w:tcPr>
            <w:tcW w:type="dxa" w:w="1800"/>
            <w:tcMar>
              <w:top w:type="dxa" w:w="100"/>
              <w:left w:type="dxa" w:w="120"/>
              <w:bottom w:type="dxa" w:w="100"/>
              <w:right w:type="dxa" w:w="120"/>
            </w:tcMar>
            <w:vAlign w:val="center"/>
          </w:tcPr>
          <w:p>
            <w:pPr>
              <w:jc w:val="center"/>
            </w:pPr>
            <w:r>
              <w:rPr>
                <w:b w:val="false"/>
                <w:bCs w:val="false"/>
                <w:color w:val="222222"/>
                <w:sz w:val="20"/>
                <w:szCs w:val="20"/>
              </w:rPr>
              <w:t xml:space="preserve">약 3,500~4,200만원</w:t>
            </w:r>
          </w:p>
        </w:tc>
        <w:tc>
          <w:tcPr>
            <w:tcW w:type="dxa" w:w="2026"/>
            <w:tcMar>
              <w:top w:type="dxa" w:w="100"/>
              <w:left w:type="dxa" w:w="120"/>
              <w:bottom w:type="dxa" w:w="100"/>
              <w:right w:type="dxa" w:w="120"/>
            </w:tcMar>
            <w:vAlign w:val="center"/>
          </w:tcPr>
          <w:p>
            <w:pPr>
              <w:jc w:val="center"/>
            </w:pPr>
            <w:r>
              <w:rPr>
                <w:b w:val="false"/>
                <w:bCs w:val="false"/>
                <w:color w:val="222222"/>
                <w:sz w:val="20"/>
                <w:szCs w:val="20"/>
              </w:rPr>
              <w:t xml:space="preserve">약 1,000~1,700만원</w:t>
            </w:r>
          </w:p>
        </w:tc>
      </w:tr>
      <w:tr>
        <w:trPr>
          <w:cantSplit/>
        </w:trPr>
        <w:tc>
          <w:tcPr>
            <w:tcW w:type="dxa" w:w="1600"/>
            <w:tcMar>
              <w:top w:type="dxa" w:w="100"/>
              <w:left w:type="dxa" w:w="120"/>
              <w:bottom w:type="dxa" w:w="100"/>
              <w:right w:type="dxa" w:w="120"/>
            </w:tcMar>
            <w:vAlign w:val="center"/>
          </w:tcPr>
          <w:p>
            <w:pPr>
              <w:jc w:val="center"/>
            </w:pPr>
            <w:r>
              <w:rPr>
                <w:b w:val="false"/>
                <w:bCs w:val="false"/>
                <w:color w:val="222222"/>
                <w:sz w:val="20"/>
                <w:szCs w:val="20"/>
              </w:rPr>
              <w:t xml:space="preserve">낙관</w:t>
            </w:r>
          </w:p>
        </w:tc>
        <w:tc>
          <w:tcPr>
            <w:tcW w:type="dxa" w:w="1800"/>
            <w:tcMar>
              <w:top w:type="dxa" w:w="100"/>
              <w:left w:type="dxa" w:w="120"/>
              <w:bottom w:type="dxa" w:w="100"/>
              <w:right w:type="dxa" w:w="120"/>
            </w:tcMar>
            <w:vAlign w:val="center"/>
          </w:tcPr>
          <w:p>
            <w:pPr>
              <w:jc w:val="center"/>
            </w:pPr>
            <w:r>
              <w:rPr>
                <w:b w:val="false"/>
                <w:bCs w:val="false"/>
                <w:color w:val="222222"/>
                <w:sz w:val="20"/>
                <w:szCs w:val="20"/>
              </w:rPr>
              <w:t xml:space="preserve">약 300만원</w:t>
            </w:r>
          </w:p>
        </w:tc>
        <w:tc>
          <w:tcPr>
            <w:tcW w:type="dxa" w:w="1800"/>
            <w:tcMar>
              <w:top w:type="dxa" w:w="100"/>
              <w:left w:type="dxa" w:w="120"/>
              <w:bottom w:type="dxa" w:w="100"/>
              <w:right w:type="dxa" w:w="120"/>
            </w:tcMar>
            <w:vAlign w:val="center"/>
          </w:tcPr>
          <w:p>
            <w:pPr>
              <w:jc w:val="center"/>
            </w:pPr>
            <w:r>
              <w:rPr>
                <w:b w:val="false"/>
                <w:bCs w:val="false"/>
                <w:color w:val="222222"/>
                <w:sz w:val="20"/>
                <w:szCs w:val="20"/>
              </w:rPr>
              <w:t xml:space="preserve">약 7,800만원</w:t>
            </w:r>
          </w:p>
        </w:tc>
        <w:tc>
          <w:tcPr>
            <w:tcW w:type="dxa" w:w="1800"/>
            <w:tcMar>
              <w:top w:type="dxa" w:w="100"/>
              <w:left w:type="dxa" w:w="120"/>
              <w:bottom w:type="dxa" w:w="100"/>
              <w:right w:type="dxa" w:w="120"/>
            </w:tcMar>
            <w:vAlign w:val="center"/>
          </w:tcPr>
          <w:p>
            <w:pPr>
              <w:jc w:val="center"/>
            </w:pPr>
            <w:r>
              <w:rPr>
                <w:b w:val="false"/>
                <w:bCs w:val="false"/>
                <w:color w:val="222222"/>
                <w:sz w:val="20"/>
                <w:szCs w:val="20"/>
              </w:rPr>
              <w:t xml:space="preserve">약 3,500~4,200만원</w:t>
            </w:r>
          </w:p>
        </w:tc>
        <w:tc>
          <w:tcPr>
            <w:tcW w:type="dxa" w:w="2026"/>
            <w:tcMar>
              <w:top w:type="dxa" w:w="100"/>
              <w:left w:type="dxa" w:w="120"/>
              <w:bottom w:type="dxa" w:w="100"/>
              <w:right w:type="dxa" w:w="120"/>
            </w:tcMar>
            <w:vAlign w:val="center"/>
          </w:tcPr>
          <w:p>
            <w:pPr>
              <w:jc w:val="center"/>
            </w:pPr>
            <w:r>
              <w:rPr>
                <w:b w:val="false"/>
                <w:bCs w:val="false"/>
                <w:color w:val="222222"/>
                <w:sz w:val="20"/>
                <w:szCs w:val="20"/>
              </w:rPr>
              <w:t xml:space="preserve">약 3,000만원 이상</w:t>
            </w:r>
          </w:p>
        </w:tc>
      </w:tr>
    </w:tbl>
    <w:p>
      <w:pPr>
        <w:spacing w:after="180" w:line="320"/>
      </w:pPr>
      <w:r>
        <w:rPr>
          <w:i/>
          <w:iCs/>
          <w:color w:val="595959"/>
          <w:sz w:val="18"/>
          <w:szCs w:val="18"/>
        </w:rPr>
        <w:t xml:space="preserve">※ 인력 7~8명(매표 1, 카페 응대 3~4, 제작팀 3) 고용을 전제로 한 고정비 기준이며, 월 26일 영업 기준입니다.</w:t>
      </w:r>
    </w:p>
    <w:p>
      <w:pPr>
        <w:pStyle w:val="Heading2"/>
        <w:spacing w:after="120" w:before="320"/>
      </w:pPr>
      <w:r>
        <w:rPr>
          <w:b/>
          <w:bCs/>
          <w:color w:val="1F2A44"/>
          <w:sz w:val="24"/>
          <w:szCs w:val="24"/>
        </w:rPr>
        <w:t xml:space="preserve">5.3 성장 로드맵 (단계별 확장)</w:t>
      </w:r>
    </w:p>
    <w:p>
      <w:pPr>
        <w:spacing w:after="180" w:line="320"/>
      </w:pPr>
      <w:r>
        <w:rPr>
          <w:color w:val="222222"/>
          <w:sz w:val="21"/>
          <w:szCs w:val="21"/>
        </w:rPr>
        <w:t xml:space="preserve">디오월드는 오픈 시점부터 레이싱존과 중장비 체험존 등 최소 2~3개 공간을 갖춘 상태로 시작합니다. 이후 확장은 정해진 연차에 맞추는 것이 아니라, 성과가 확인되는 즉시 최대한 빠르게 다음 단계로 넘어가는 것을 원칙으로 합니다. 공간과 콘텐츠가 커질수록, 그리고 입소문이 확산될수록 매출은 비례 이상으로 성장할 잠재력을 갖고 있습니다.</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2409"/>
        <w:gridCol w:w="2409"/>
        <w:gridCol w:w="2408"/>
      </w:tblGrid>
      <w:tr>
        <w:trPr>
          <w:cantSplit/>
        </w:trPr>
        <w:tc>
          <w:tcPr>
            <w:tcW w:type="dxa" w:w="1800"/>
            <w:shd w:fill="1F2A44" w:color="auto" w:val="clear"/>
            <w:tcMar>
              <w:top w:type="dxa" w:w="100"/>
              <w:left w:type="dxa" w:w="120"/>
              <w:bottom w:type="dxa" w:w="100"/>
              <w:right w:type="dxa" w:w="120"/>
            </w:tcMar>
            <w:vAlign w:val="center"/>
          </w:tcPr>
          <w:p>
            <w:pPr>
              <w:jc w:val="center"/>
            </w:pPr>
            <w:r>
              <w:rPr>
                <w:b/>
                <w:bCs/>
                <w:color w:val="FFFFFF"/>
                <w:sz w:val="20"/>
                <w:szCs w:val="20"/>
              </w:rPr>
              <w:t xml:space="preserve">구분</w:t>
            </w:r>
          </w:p>
        </w:tc>
        <w:tc>
          <w:tcPr>
            <w:tcW w:type="dxa" w:w="2409"/>
            <w:shd w:fill="1F2A44" w:color="auto" w:val="clear"/>
            <w:tcMar>
              <w:top w:type="dxa" w:w="100"/>
              <w:left w:type="dxa" w:w="120"/>
              <w:bottom w:type="dxa" w:w="100"/>
              <w:right w:type="dxa" w:w="120"/>
            </w:tcMar>
            <w:vAlign w:val="center"/>
          </w:tcPr>
          <w:p>
            <w:pPr>
              <w:jc w:val="center"/>
            </w:pPr>
            <w:r>
              <w:rPr>
                <w:b/>
                <w:bCs/>
                <w:color w:val="FFFFFF"/>
                <w:sz w:val="20"/>
                <w:szCs w:val="20"/>
              </w:rPr>
              <w:t xml:space="preserve">1단계 — 오픈</w:t>
            </w:r>
          </w:p>
        </w:tc>
        <w:tc>
          <w:tcPr>
            <w:tcW w:type="dxa" w:w="2409"/>
            <w:shd w:fill="1F2A44" w:color="auto" w:val="clear"/>
            <w:tcMar>
              <w:top w:type="dxa" w:w="100"/>
              <w:left w:type="dxa" w:w="120"/>
              <w:bottom w:type="dxa" w:w="100"/>
              <w:right w:type="dxa" w:w="120"/>
            </w:tcMar>
            <w:vAlign w:val="center"/>
          </w:tcPr>
          <w:p>
            <w:pPr>
              <w:jc w:val="center"/>
            </w:pPr>
            <w:r>
              <w:rPr>
                <w:b/>
                <w:bCs/>
                <w:color w:val="FFFFFF"/>
                <w:sz w:val="20"/>
                <w:szCs w:val="20"/>
              </w:rPr>
              <w:t xml:space="preserve">2단계 — 확장</w:t>
            </w:r>
          </w:p>
        </w:tc>
        <w:tc>
          <w:tcPr>
            <w:tcW w:type="dxa" w:w="2408"/>
            <w:shd w:fill="1F2A44" w:color="auto" w:val="clear"/>
            <w:tcMar>
              <w:top w:type="dxa" w:w="100"/>
              <w:left w:type="dxa" w:w="120"/>
              <w:bottom w:type="dxa" w:w="100"/>
              <w:right w:type="dxa" w:w="120"/>
            </w:tcMar>
            <w:vAlign w:val="center"/>
          </w:tcPr>
          <w:p>
            <w:pPr>
              <w:jc w:val="center"/>
            </w:pPr>
            <w:r>
              <w:rPr>
                <w:b/>
                <w:bCs/>
                <w:color w:val="FFFFFF"/>
                <w:sz w:val="20"/>
                <w:szCs w:val="20"/>
              </w:rPr>
              <w:t xml:space="preserve">3단계 — 성장 궤도</w:t>
            </w:r>
          </w:p>
        </w:tc>
      </w:tr>
      <w:tr>
        <w:trPr>
          <w:cantSplit/>
        </w:trPr>
        <w:tc>
          <w:tcPr>
            <w:tcW w:type="dxa" w:w="1800"/>
            <w:tcMar>
              <w:top w:type="dxa" w:w="100"/>
              <w:left w:type="dxa" w:w="120"/>
              <w:bottom w:type="dxa" w:w="100"/>
              <w:right w:type="dxa" w:w="120"/>
            </w:tcMar>
            <w:vAlign w:val="center"/>
          </w:tcPr>
          <w:p>
            <w:pPr>
              <w:jc w:val="left"/>
            </w:pPr>
            <w:r>
              <w:rPr>
                <w:b w:val="false"/>
                <w:bCs w:val="false"/>
                <w:color w:val="222222"/>
                <w:sz w:val="20"/>
                <w:szCs w:val="20"/>
              </w:rPr>
              <w:t xml:space="preserve">공간 구성</w:t>
            </w:r>
          </w:p>
        </w:tc>
        <w:tc>
          <w:tcPr>
            <w:tcW w:type="dxa" w:w="2409"/>
            <w:tcMar>
              <w:top w:type="dxa" w:w="100"/>
              <w:left w:type="dxa" w:w="120"/>
              <w:bottom w:type="dxa" w:w="100"/>
              <w:right w:type="dxa" w:w="120"/>
            </w:tcMar>
            <w:vAlign w:val="center"/>
          </w:tcPr>
          <w:p>
            <w:pPr>
              <w:jc w:val="left"/>
            </w:pPr>
            <w:r>
              <w:rPr>
                <w:b w:val="false"/>
                <w:bCs w:val="false"/>
                <w:color w:val="222222"/>
                <w:sz w:val="20"/>
                <w:szCs w:val="20"/>
              </w:rPr>
              <w:t xml:space="preserve">레이싱존 + 중장비 체험존 + 카페존, 최소 2~3개 공간을 갖춘 상태로 개장</w:t>
            </w:r>
          </w:p>
        </w:tc>
        <w:tc>
          <w:tcPr>
            <w:tcW w:type="dxa" w:w="2409"/>
            <w:tcMar>
              <w:top w:type="dxa" w:w="100"/>
              <w:left w:type="dxa" w:w="120"/>
              <w:bottom w:type="dxa" w:w="100"/>
              <w:right w:type="dxa" w:w="120"/>
            </w:tcMar>
            <w:vAlign w:val="center"/>
          </w:tcPr>
          <w:p>
            <w:pPr>
              <w:jc w:val="left"/>
            </w:pPr>
            <w:r>
              <w:rPr>
                <w:b w:val="false"/>
                <w:bCs w:val="false"/>
                <w:color w:val="222222"/>
                <w:sz w:val="20"/>
                <w:szCs w:val="20"/>
              </w:rPr>
              <w:t xml:space="preserve">바다존 추가 개장</w:t>
            </w:r>
          </w:p>
        </w:tc>
        <w:tc>
          <w:tcPr>
            <w:tcW w:type="dxa" w:w="2408"/>
            <w:tcMar>
              <w:top w:type="dxa" w:w="100"/>
              <w:left w:type="dxa" w:w="120"/>
              <w:bottom w:type="dxa" w:w="100"/>
              <w:right w:type="dxa" w:w="120"/>
            </w:tcMar>
            <w:vAlign w:val="center"/>
          </w:tcPr>
          <w:p>
            <w:pPr>
              <w:jc w:val="left"/>
            </w:pPr>
            <w:r>
              <w:rPr>
                <w:b w:val="false"/>
                <w:bCs w:val="false"/>
                <w:color w:val="222222"/>
                <w:sz w:val="20"/>
                <w:szCs w:val="20"/>
              </w:rPr>
              <w:t xml:space="preserve">추가 테마존, 온라인·제작 스튜디오 수익 본격화</w:t>
            </w:r>
          </w:p>
        </w:tc>
      </w:tr>
      <w:tr>
        <w:trPr>
          <w:cantSplit/>
        </w:trPr>
        <w:tc>
          <w:tcPr>
            <w:tcW w:type="dxa" w:w="1800"/>
            <w:tcMar>
              <w:top w:type="dxa" w:w="100"/>
              <w:left w:type="dxa" w:w="120"/>
              <w:bottom w:type="dxa" w:w="100"/>
              <w:right w:type="dxa" w:w="120"/>
            </w:tcMar>
            <w:vAlign w:val="center"/>
          </w:tcPr>
          <w:p>
            <w:pPr>
              <w:jc w:val="left"/>
            </w:pPr>
            <w:r>
              <w:rPr>
                <w:b w:val="false"/>
                <w:bCs w:val="false"/>
                <w:color w:val="222222"/>
                <w:sz w:val="20"/>
                <w:szCs w:val="20"/>
              </w:rPr>
              <w:t xml:space="preserve">진행 기준</w:t>
            </w:r>
          </w:p>
        </w:tc>
        <w:tc>
          <w:tcPr>
            <w:tcW w:type="dxa" w:w="2409"/>
            <w:tcMar>
              <w:top w:type="dxa" w:w="100"/>
              <w:left w:type="dxa" w:w="120"/>
              <w:bottom w:type="dxa" w:w="100"/>
              <w:right w:type="dxa" w:w="120"/>
            </w:tcMar>
            <w:vAlign w:val="center"/>
          </w:tcPr>
          <w:p>
            <w:pPr>
              <w:jc w:val="left"/>
            </w:pPr>
            <w:r>
              <w:rPr>
                <w:b w:val="false"/>
                <w:bCs w:val="false"/>
                <w:color w:val="222222"/>
                <w:sz w:val="20"/>
                <w:szCs w:val="20"/>
              </w:rPr>
              <w:t xml:space="preserve">개장 즉시</w:t>
            </w:r>
          </w:p>
        </w:tc>
        <w:tc>
          <w:tcPr>
            <w:tcW w:type="dxa" w:w="2409"/>
            <w:tcMar>
              <w:top w:type="dxa" w:w="100"/>
              <w:left w:type="dxa" w:w="120"/>
              <w:bottom w:type="dxa" w:w="100"/>
              <w:right w:type="dxa" w:w="120"/>
            </w:tcMar>
            <w:vAlign w:val="center"/>
          </w:tcPr>
          <w:p>
            <w:pPr>
              <w:jc w:val="left"/>
            </w:pPr>
            <w:r>
              <w:rPr>
                <w:b w:val="false"/>
                <w:bCs w:val="false"/>
                <w:color w:val="222222"/>
                <w:sz w:val="20"/>
                <w:szCs w:val="20"/>
              </w:rPr>
              <w:t xml:space="preserve">초기 매출·반응 확인 즉시 착수, 최대한 빠르게 진행</w:t>
            </w:r>
          </w:p>
        </w:tc>
        <w:tc>
          <w:tcPr>
            <w:tcW w:type="dxa" w:w="2408"/>
            <w:tcMar>
              <w:top w:type="dxa" w:w="100"/>
              <w:left w:type="dxa" w:w="120"/>
              <w:bottom w:type="dxa" w:w="100"/>
              <w:right w:type="dxa" w:w="120"/>
            </w:tcMar>
            <w:vAlign w:val="center"/>
          </w:tcPr>
          <w:p>
            <w:pPr>
              <w:jc w:val="left"/>
            </w:pPr>
            <w:r>
              <w:rPr>
                <w:b w:val="false"/>
                <w:bCs w:val="false"/>
                <w:color w:val="222222"/>
                <w:sz w:val="20"/>
                <w:szCs w:val="20"/>
              </w:rPr>
              <w:t xml:space="preserve">브랜드 인지도 확립 및 재투자 여력 확보 시 순차 진행</w:t>
            </w:r>
          </w:p>
        </w:tc>
      </w:tr>
      <w:tr>
        <w:trPr>
          <w:cantSplit/>
        </w:trPr>
        <w:tc>
          <w:tcPr>
            <w:tcW w:type="dxa" w:w="1800"/>
            <w:shd w:fill="1F2A44" w:color="auto" w:val="clear"/>
            <w:tcMar>
              <w:top w:type="dxa" w:w="100"/>
              <w:left w:type="dxa" w:w="120"/>
              <w:bottom w:type="dxa" w:w="100"/>
              <w:right w:type="dxa" w:w="120"/>
            </w:tcMar>
            <w:vAlign w:val="center"/>
          </w:tcPr>
          <w:p>
            <w:pPr>
              <w:jc w:val="left"/>
            </w:pPr>
            <w:r>
              <w:rPr>
                <w:b/>
                <w:bCs/>
                <w:color w:val="FFFFFF"/>
                <w:sz w:val="20"/>
                <w:szCs w:val="20"/>
              </w:rPr>
              <w:t xml:space="preserve">목표 연매출</w:t>
            </w:r>
          </w:p>
        </w:tc>
        <w:tc>
          <w:tcPr>
            <w:tcW w:type="dxa" w:w="2409"/>
            <w:shd w:fill="1F2A44" w:color="auto" w:val="clear"/>
            <w:tcMar>
              <w:top w:type="dxa" w:w="100"/>
              <w:left w:type="dxa" w:w="120"/>
              <w:bottom w:type="dxa" w:w="100"/>
              <w:right w:type="dxa" w:w="120"/>
            </w:tcMar>
            <w:vAlign w:val="center"/>
          </w:tcPr>
          <w:p>
            <w:pPr>
              <w:jc w:val="center"/>
            </w:pPr>
            <w:r>
              <w:rPr>
                <w:b/>
                <w:bCs/>
                <w:color w:val="FFFFFF"/>
                <w:sz w:val="20"/>
                <w:szCs w:val="20"/>
              </w:rPr>
              <w:t xml:space="preserve">약 6억 ~ 7억</w:t>
            </w:r>
          </w:p>
        </w:tc>
        <w:tc>
          <w:tcPr>
            <w:tcW w:type="dxa" w:w="2409"/>
            <w:shd w:fill="1F2A44" w:color="auto" w:val="clear"/>
            <w:tcMar>
              <w:top w:type="dxa" w:w="100"/>
              <w:left w:type="dxa" w:w="120"/>
              <w:bottom w:type="dxa" w:w="100"/>
              <w:right w:type="dxa" w:w="120"/>
            </w:tcMar>
            <w:vAlign w:val="center"/>
          </w:tcPr>
          <w:p>
            <w:pPr>
              <w:jc w:val="center"/>
            </w:pPr>
            <w:r>
              <w:rPr>
                <w:b/>
                <w:bCs/>
                <w:color w:val="FFFFFF"/>
                <w:sz w:val="20"/>
                <w:szCs w:val="20"/>
              </w:rPr>
              <w:t xml:space="preserve">약 8억 ~ 9억</w:t>
            </w:r>
          </w:p>
        </w:tc>
        <w:tc>
          <w:tcPr>
            <w:tcW w:type="dxa" w:w="2408"/>
            <w:shd w:fill="1F2A44" w:color="auto" w:val="clear"/>
            <w:tcMar>
              <w:top w:type="dxa" w:w="100"/>
              <w:left w:type="dxa" w:w="120"/>
              <w:bottom w:type="dxa" w:w="100"/>
              <w:right w:type="dxa" w:w="120"/>
            </w:tcMar>
            <w:vAlign w:val="center"/>
          </w:tcPr>
          <w:p>
            <w:pPr>
              <w:jc w:val="center"/>
            </w:pPr>
            <w:r>
              <w:rPr>
                <w:b/>
                <w:bCs/>
                <w:color w:val="FFFFFF"/>
                <w:sz w:val="20"/>
                <w:szCs w:val="20"/>
              </w:rPr>
              <w:t xml:space="preserve">10억 원 이상</w:t>
            </w:r>
          </w:p>
        </w:tc>
      </w:tr>
    </w:tbl>
    <w:p>
      <w:pPr>
        <w:spacing w:after="180" w:line="320"/>
      </w:pPr>
      <w:r>
        <w:rPr>
          <w:i/>
          <w:iCs/>
          <w:color w:val="595959"/>
          <w:sz w:val="18"/>
          <w:szCs w:val="18"/>
        </w:rPr>
        <w:t xml:space="preserve">※ 단계 간 간격은 고정된 기간이 아니라 실적과 자금 상황에 따라 유동적이며, 최대한 빠른 확장을 원칙으로 합니다. 목표 연매출 10억 원 이상은 늦어도 3년 내 도달을 목표로 한 수치이며, 실제 성과는 시장 반응과 실행 속도에 따라 이보다 앞당겨지거나 달라질 수 있습니다.</w:t>
      </w:r>
    </w:p>
    <w:p>
      <w:pPr>
        <w:pStyle w:val="Heading2"/>
        <w:spacing w:after="120" w:before="320"/>
      </w:pPr>
      <w:r>
        <w:rPr>
          <w:b/>
          <w:bCs/>
          <w:color w:val="1F2A44"/>
          <w:sz w:val="24"/>
          <w:szCs w:val="24"/>
        </w:rPr>
        <w:t xml:space="preserve">5.4 손익분기 및 투자 회수</w:t>
      </w:r>
    </w:p>
    <w:p>
      <w:pPr>
        <w:spacing w:after="180" w:line="320"/>
      </w:pPr>
      <w:r>
        <w:rPr>
          <w:color w:val="222222"/>
          <w:sz w:val="21"/>
          <w:szCs w:val="21"/>
        </w:rPr>
        <w:t xml:space="preserve">손익분기점은 일 평균 매출 약 135만~160만 원 구간으로 추정되며, 보수 시나리오에서도 사업이 유지되도록 고정비 구조를 설계했습니다. 기본 시나리오 기준 투자 원금 회수 기간은 약 3년이며, 이후에는 3단계 목표 연매출 10억 원 이상을 기반으로 한 지분 수익이 지속적으로 발생하는 구조입니다.</w:t>
      </w:r>
    </w:p>
    <w:p>
      <w:pPr>
        <w:pStyle w:val="Heading1"/>
        <w:pBdr>
          <w:bottom w:val="single" w:color="B8952A" w:sz="6" w:space="4"/>
        </w:pBdr>
        <w:spacing w:after="200" w:before="480"/>
      </w:pPr>
      <w:r>
        <w:rPr>
          <w:b/>
          <w:bCs/>
          <w:color w:val="1F2A44"/>
          <w:sz w:val="30"/>
          <w:szCs w:val="30"/>
        </w:rPr>
        <w:t xml:space="preserve">6. 실행 로드맵</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0"/>
        <w:gridCol w:w="8126"/>
      </w:tblGrid>
      <w:tr>
        <w:trPr>
          <w:cantSplit/>
        </w:trPr>
        <w:tc>
          <w:tcPr>
            <w:tcW w:type="dxa" w:w="900"/>
            <w:shd w:fill="1F2A44" w:color="auto" w:val="clear"/>
            <w:tcMar>
              <w:top w:type="dxa" w:w="100"/>
              <w:left w:type="dxa" w:w="120"/>
              <w:bottom w:type="dxa" w:w="100"/>
              <w:right w:type="dxa" w:w="120"/>
            </w:tcMar>
            <w:vAlign w:val="center"/>
          </w:tcPr>
          <w:p>
            <w:pPr>
              <w:jc w:val="center"/>
            </w:pPr>
            <w:r>
              <w:rPr>
                <w:b/>
                <w:bCs/>
                <w:color w:val="FFFFFF"/>
                <w:sz w:val="20"/>
                <w:szCs w:val="20"/>
              </w:rPr>
              <w:t xml:space="preserve">단계</w:t>
            </w:r>
          </w:p>
        </w:tc>
        <w:tc>
          <w:tcPr>
            <w:tcW w:type="dxa" w:w="8126"/>
            <w:shd w:fill="1F2A44" w:color="auto" w:val="clear"/>
            <w:tcMar>
              <w:top w:type="dxa" w:w="100"/>
              <w:left w:type="dxa" w:w="120"/>
              <w:bottom w:type="dxa" w:w="100"/>
              <w:right w:type="dxa" w:w="120"/>
            </w:tcMar>
            <w:vAlign w:val="center"/>
          </w:tcPr>
          <w:p>
            <w:pPr>
              <w:jc w:val="left"/>
            </w:pPr>
            <w:r>
              <w:rPr>
                <w:b/>
                <w:bCs/>
                <w:color w:val="FFFFFF"/>
                <w:sz w:val="20"/>
                <w:szCs w:val="20"/>
              </w:rPr>
              <w:t xml:space="preserve">내용</w:t>
            </w:r>
          </w:p>
        </w:tc>
      </w:tr>
      <w:tr>
        <w:trPr>
          <w:cantSplit/>
        </w:trPr>
        <w:tc>
          <w:tcPr>
            <w:tcW w:type="dxa" w:w="900"/>
            <w:tcMar>
              <w:top w:type="dxa" w:w="100"/>
              <w:left w:type="dxa" w:w="120"/>
              <w:bottom w:type="dxa" w:w="100"/>
              <w:right w:type="dxa" w:w="120"/>
            </w:tcMar>
            <w:vAlign w:val="center"/>
          </w:tcPr>
          <w:p>
            <w:pPr>
              <w:jc w:val="center"/>
            </w:pPr>
            <w:r>
              <w:rPr>
                <w:b w:val="false"/>
                <w:bCs w:val="false"/>
                <w:color w:val="222222"/>
                <w:sz w:val="20"/>
                <w:szCs w:val="20"/>
              </w:rPr>
              <w:t xml:space="preserve">1</w:t>
            </w:r>
          </w:p>
        </w:tc>
        <w:tc>
          <w:tcPr>
            <w:tcW w:type="dxa" w:w="8126"/>
            <w:tcMar>
              <w:top w:type="dxa" w:w="100"/>
              <w:left w:type="dxa" w:w="120"/>
              <w:bottom w:type="dxa" w:w="100"/>
              <w:right w:type="dxa" w:w="120"/>
            </w:tcMar>
            <w:vAlign w:val="center"/>
          </w:tcPr>
          <w:p>
            <w:pPr>
              <w:jc w:val="left"/>
            </w:pPr>
            <w:r>
              <w:rPr>
                <w:b w:val="false"/>
                <w:bCs w:val="false"/>
                <w:color w:val="222222"/>
                <w:sz w:val="20"/>
                <w:szCs w:val="20"/>
              </w:rPr>
              <w:t xml:space="preserve">초기 투자 파트너 확정</w:t>
            </w:r>
          </w:p>
        </w:tc>
      </w:tr>
      <w:tr>
        <w:trPr>
          <w:cantSplit/>
        </w:trPr>
        <w:tc>
          <w:tcPr>
            <w:tcW w:type="dxa" w:w="900"/>
            <w:tcMar>
              <w:top w:type="dxa" w:w="100"/>
              <w:left w:type="dxa" w:w="120"/>
              <w:bottom w:type="dxa" w:w="100"/>
              <w:right w:type="dxa" w:w="120"/>
            </w:tcMar>
            <w:vAlign w:val="center"/>
          </w:tcPr>
          <w:p>
            <w:pPr>
              <w:jc w:val="center"/>
            </w:pPr>
            <w:r>
              <w:rPr>
                <w:b w:val="false"/>
                <w:bCs w:val="false"/>
                <w:color w:val="222222"/>
                <w:sz w:val="20"/>
                <w:szCs w:val="20"/>
              </w:rPr>
              <w:t xml:space="preserve">2</w:t>
            </w:r>
          </w:p>
        </w:tc>
        <w:tc>
          <w:tcPr>
            <w:tcW w:type="dxa" w:w="8126"/>
            <w:tcMar>
              <w:top w:type="dxa" w:w="100"/>
              <w:left w:type="dxa" w:w="120"/>
              <w:bottom w:type="dxa" w:w="100"/>
              <w:right w:type="dxa" w:w="120"/>
            </w:tcMar>
            <w:vAlign w:val="center"/>
          </w:tcPr>
          <w:p>
            <w:pPr>
              <w:jc w:val="left"/>
            </w:pPr>
            <w:r>
              <w:rPr>
                <w:b w:val="false"/>
                <w:bCs w:val="false"/>
                <w:color w:val="222222"/>
                <w:sz w:val="20"/>
                <w:szCs w:val="20"/>
              </w:rPr>
              <w:t xml:space="preserve">부지 계약 — 광주 외곽 상권 100평 내외 통임대</w:t>
            </w:r>
          </w:p>
        </w:tc>
      </w:tr>
      <w:tr>
        <w:trPr>
          <w:cantSplit/>
        </w:trPr>
        <w:tc>
          <w:tcPr>
            <w:tcW w:type="dxa" w:w="900"/>
            <w:tcMar>
              <w:top w:type="dxa" w:w="100"/>
              <w:left w:type="dxa" w:w="120"/>
              <w:bottom w:type="dxa" w:w="100"/>
              <w:right w:type="dxa" w:w="120"/>
            </w:tcMar>
            <w:vAlign w:val="center"/>
          </w:tcPr>
          <w:p>
            <w:pPr>
              <w:jc w:val="center"/>
            </w:pPr>
            <w:r>
              <w:rPr>
                <w:b w:val="false"/>
                <w:bCs w:val="false"/>
                <w:color w:val="222222"/>
                <w:sz w:val="20"/>
                <w:szCs w:val="20"/>
              </w:rPr>
              <w:t xml:space="preserve">3</w:t>
            </w:r>
          </w:p>
        </w:tc>
        <w:tc>
          <w:tcPr>
            <w:tcW w:type="dxa" w:w="8126"/>
            <w:tcMar>
              <w:top w:type="dxa" w:w="100"/>
              <w:left w:type="dxa" w:w="120"/>
              <w:bottom w:type="dxa" w:w="100"/>
              <w:right w:type="dxa" w:w="120"/>
            </w:tcMar>
            <w:vAlign w:val="center"/>
          </w:tcPr>
          <w:p>
            <w:pPr>
              <w:jc w:val="left"/>
            </w:pPr>
            <w:r>
              <w:rPr>
                <w:b w:val="false"/>
                <w:bCs w:val="false"/>
                <w:color w:val="222222"/>
                <w:sz w:val="20"/>
                <w:szCs w:val="20"/>
              </w:rPr>
              <w:t xml:space="preserve">법인 설립 (인테리어 공정과 병행 진행)</w:t>
            </w:r>
          </w:p>
        </w:tc>
      </w:tr>
      <w:tr>
        <w:trPr>
          <w:cantSplit/>
        </w:trPr>
        <w:tc>
          <w:tcPr>
            <w:tcW w:type="dxa" w:w="900"/>
            <w:tcMar>
              <w:top w:type="dxa" w:w="100"/>
              <w:left w:type="dxa" w:w="120"/>
              <w:bottom w:type="dxa" w:w="100"/>
              <w:right w:type="dxa" w:w="120"/>
            </w:tcMar>
            <w:vAlign w:val="center"/>
          </w:tcPr>
          <w:p>
            <w:pPr>
              <w:jc w:val="center"/>
            </w:pPr>
            <w:r>
              <w:rPr>
                <w:b w:val="false"/>
                <w:bCs w:val="false"/>
                <w:color w:val="222222"/>
                <w:sz w:val="20"/>
                <w:szCs w:val="20"/>
              </w:rPr>
              <w:t xml:space="preserve">4</w:t>
            </w:r>
          </w:p>
        </w:tc>
        <w:tc>
          <w:tcPr>
            <w:tcW w:type="dxa" w:w="8126"/>
            <w:tcMar>
              <w:top w:type="dxa" w:w="100"/>
              <w:left w:type="dxa" w:w="120"/>
              <w:bottom w:type="dxa" w:w="100"/>
              <w:right w:type="dxa" w:w="120"/>
            </w:tcMar>
            <w:vAlign w:val="center"/>
          </w:tcPr>
          <w:p>
            <w:pPr>
              <w:jc w:val="left"/>
            </w:pPr>
            <w:r>
              <w:rPr>
                <w:b w:val="false"/>
                <w:bCs w:val="false"/>
                <w:color w:val="222222"/>
                <w:sz w:val="20"/>
                <w:szCs w:val="20"/>
              </w:rPr>
              <w:t xml:space="preserve">인테리어 공사 — 구조 중심의 실속형 시공</w:t>
            </w:r>
          </w:p>
        </w:tc>
      </w:tr>
      <w:tr>
        <w:trPr>
          <w:cantSplit/>
        </w:trPr>
        <w:tc>
          <w:tcPr>
            <w:tcW w:type="dxa" w:w="900"/>
            <w:tcMar>
              <w:top w:type="dxa" w:w="100"/>
              <w:left w:type="dxa" w:w="120"/>
              <w:bottom w:type="dxa" w:w="100"/>
              <w:right w:type="dxa" w:w="120"/>
            </w:tcMar>
            <w:vAlign w:val="center"/>
          </w:tcPr>
          <w:p>
            <w:pPr>
              <w:jc w:val="center"/>
            </w:pPr>
            <w:r>
              <w:rPr>
                <w:b w:val="false"/>
                <w:bCs w:val="false"/>
                <w:color w:val="222222"/>
                <w:sz w:val="20"/>
                <w:szCs w:val="20"/>
              </w:rPr>
              <w:t xml:space="preserve">5</w:t>
            </w:r>
          </w:p>
        </w:tc>
        <w:tc>
          <w:tcPr>
            <w:tcW w:type="dxa" w:w="8126"/>
            <w:tcMar>
              <w:top w:type="dxa" w:w="100"/>
              <w:left w:type="dxa" w:w="120"/>
              <w:bottom w:type="dxa" w:w="100"/>
              <w:right w:type="dxa" w:w="120"/>
            </w:tcMar>
            <w:vAlign w:val="center"/>
          </w:tcPr>
          <w:p>
            <w:pPr>
              <w:jc w:val="left"/>
            </w:pPr>
            <w:r>
              <w:rPr>
                <w:b w:val="false"/>
                <w:bCs w:val="false"/>
                <w:color w:val="222222"/>
                <w:sz w:val="20"/>
                <w:szCs w:val="20"/>
              </w:rPr>
              <w:t xml:space="preserve">제작팀 채용 및 콘텐츠 제작 — 레이싱존·중장비 체험존 우선 제작</w:t>
            </w:r>
          </w:p>
        </w:tc>
      </w:tr>
      <w:tr>
        <w:trPr>
          <w:cantSplit/>
        </w:trPr>
        <w:tc>
          <w:tcPr>
            <w:tcW w:type="dxa" w:w="900"/>
            <w:tcMar>
              <w:top w:type="dxa" w:w="100"/>
              <w:left w:type="dxa" w:w="120"/>
              <w:bottom w:type="dxa" w:w="100"/>
              <w:right w:type="dxa" w:w="120"/>
            </w:tcMar>
            <w:vAlign w:val="center"/>
          </w:tcPr>
          <w:p>
            <w:pPr>
              <w:jc w:val="center"/>
            </w:pPr>
            <w:r>
              <w:rPr>
                <w:b w:val="false"/>
                <w:bCs w:val="false"/>
                <w:color w:val="222222"/>
                <w:sz w:val="20"/>
                <w:szCs w:val="20"/>
              </w:rPr>
              <w:t xml:space="preserve">6</w:t>
            </w:r>
          </w:p>
        </w:tc>
        <w:tc>
          <w:tcPr>
            <w:tcW w:type="dxa" w:w="8126"/>
            <w:tcMar>
              <w:top w:type="dxa" w:w="100"/>
              <w:left w:type="dxa" w:w="120"/>
              <w:bottom w:type="dxa" w:w="100"/>
              <w:right w:type="dxa" w:w="120"/>
            </w:tcMar>
            <w:vAlign w:val="center"/>
          </w:tcPr>
          <w:p>
            <w:pPr>
              <w:jc w:val="left"/>
            </w:pPr>
            <w:r>
              <w:rPr>
                <w:b w:val="false"/>
                <w:bCs w:val="false"/>
                <w:color w:val="222222"/>
                <w:sz w:val="20"/>
                <w:szCs w:val="20"/>
              </w:rPr>
              <w:t xml:space="preserve">카페 및 매장 운영 준비</w:t>
            </w:r>
          </w:p>
        </w:tc>
      </w:tr>
      <w:tr>
        <w:trPr>
          <w:cantSplit/>
        </w:trPr>
        <w:tc>
          <w:tcPr>
            <w:tcW w:type="dxa" w:w="900"/>
            <w:tcMar>
              <w:top w:type="dxa" w:w="100"/>
              <w:left w:type="dxa" w:w="120"/>
              <w:bottom w:type="dxa" w:w="100"/>
              <w:right w:type="dxa" w:w="120"/>
            </w:tcMar>
            <w:vAlign w:val="center"/>
          </w:tcPr>
          <w:p>
            <w:pPr>
              <w:jc w:val="center"/>
            </w:pPr>
            <w:r>
              <w:rPr>
                <w:b w:val="false"/>
                <w:bCs w:val="false"/>
                <w:color w:val="222222"/>
                <w:sz w:val="20"/>
                <w:szCs w:val="20"/>
              </w:rPr>
              <w:t xml:space="preserve">7</w:t>
            </w:r>
          </w:p>
        </w:tc>
        <w:tc>
          <w:tcPr>
            <w:tcW w:type="dxa" w:w="8126"/>
            <w:tcMar>
              <w:top w:type="dxa" w:w="100"/>
              <w:left w:type="dxa" w:w="120"/>
              <w:bottom w:type="dxa" w:w="100"/>
              <w:right w:type="dxa" w:w="120"/>
            </w:tcMar>
            <w:vAlign w:val="center"/>
          </w:tcPr>
          <w:p>
            <w:pPr>
              <w:jc w:val="left"/>
            </w:pPr>
            <w:r>
              <w:rPr>
                <w:b w:val="false"/>
                <w:bCs w:val="false"/>
                <w:color w:val="222222"/>
                <w:sz w:val="20"/>
                <w:szCs w:val="20"/>
              </w:rPr>
              <w:t xml:space="preserve">1차 개장 — 잔여 구역은 가림막 처리 후 공사 병행</w:t>
            </w:r>
          </w:p>
        </w:tc>
      </w:tr>
      <w:tr>
        <w:trPr>
          <w:cantSplit/>
        </w:trPr>
        <w:tc>
          <w:tcPr>
            <w:tcW w:type="dxa" w:w="900"/>
            <w:tcMar>
              <w:top w:type="dxa" w:w="100"/>
              <w:left w:type="dxa" w:w="120"/>
              <w:bottom w:type="dxa" w:w="100"/>
              <w:right w:type="dxa" w:w="120"/>
            </w:tcMar>
            <w:vAlign w:val="center"/>
          </w:tcPr>
          <w:p>
            <w:pPr>
              <w:jc w:val="center"/>
            </w:pPr>
            <w:r>
              <w:rPr>
                <w:b w:val="false"/>
                <w:bCs w:val="false"/>
                <w:color w:val="222222"/>
                <w:sz w:val="20"/>
                <w:szCs w:val="20"/>
              </w:rPr>
              <w:t xml:space="preserve">8</w:t>
            </w:r>
          </w:p>
        </w:tc>
        <w:tc>
          <w:tcPr>
            <w:tcW w:type="dxa" w:w="8126"/>
            <w:tcMar>
              <w:top w:type="dxa" w:w="100"/>
              <w:left w:type="dxa" w:w="120"/>
              <w:bottom w:type="dxa" w:w="100"/>
              <w:right w:type="dxa" w:w="120"/>
            </w:tcMar>
            <w:vAlign w:val="center"/>
          </w:tcPr>
          <w:p>
            <w:pPr>
              <w:jc w:val="left"/>
            </w:pPr>
            <w:r>
              <w:rPr>
                <w:b w:val="false"/>
                <w:bCs w:val="false"/>
                <w:color w:val="222222"/>
                <w:sz w:val="20"/>
                <w:szCs w:val="20"/>
              </w:rPr>
              <w:t xml:space="preserve">지자체·정부 지원사업 연계 및 후속 존 순차 확장</w:t>
            </w:r>
          </w:p>
        </w:tc>
      </w:tr>
    </w:tbl>
    <w:p>
      <w:pPr>
        <w:pStyle w:val="Heading1"/>
        <w:pBdr>
          <w:bottom w:val="single" w:color="B8952A" w:sz="6" w:space="4"/>
        </w:pBdr>
        <w:spacing w:after="200" w:before="480"/>
      </w:pPr>
      <w:r>
        <w:rPr>
          <w:b/>
          <w:bCs/>
          <w:color w:val="1F2A44"/>
          <w:sz w:val="30"/>
          <w:szCs w:val="30"/>
        </w:rPr>
        <w:t xml:space="preserve">7. 마케팅 전략</w:t>
      </w:r>
    </w:p>
    <w:p>
      <w:pPr>
        <w:spacing w:after="180" w:line="320"/>
      </w:pPr>
      <w:r>
        <w:rPr>
          <w:color w:val="222222"/>
          <w:sz w:val="21"/>
          <w:szCs w:val="21"/>
        </w:rPr>
        <w:t xml:space="preserve">디오월드는 만들어지는 과정 자체가 콘텐츠가 되는 구조를 갖고 있습니다. 빈 공간에 도시가 세워지고 서킷이 깔리는 몇 달의 과정은 광고가 만들 수 없는 서사이며, 이를 지켜본 사람은 개장일에 방문할 강한 동기를 갖게 됩니다.</w:t>
      </w:r>
    </w:p>
    <w:p>
      <w:pPr>
        <w:pStyle w:val="ListParagraph"/>
        <w:numPr>
          <w:ilvl w:val="0"/>
          <w:numId w:val="2"/>
        </w:numPr>
        <w:spacing w:after="100" w:line="300"/>
      </w:pPr>
      <w:r>
        <w:rPr>
          <w:color w:val="222222"/>
          <w:sz w:val="21"/>
          <w:szCs w:val="21"/>
        </w:rPr>
        <w:t xml:space="preserve">채널 이원화 — 인스타그램 릴스·유튜브 쇼츠로 강한 장면을 확산시키고, 스레드·유튜브 본편으로 제작 서사를 담아 팬덤의 밀도를 높입니다.</w:t>
      </w:r>
    </w:p>
    <w:p>
      <w:pPr>
        <w:pStyle w:val="ListParagraph"/>
        <w:numPr>
          <w:ilvl w:val="0"/>
          <w:numId w:val="2"/>
        </w:numPr>
        <w:spacing w:after="100" w:line="300"/>
      </w:pPr>
      <w:r>
        <w:rPr>
          <w:color w:val="222222"/>
          <w:sz w:val="21"/>
          <w:szCs w:val="21"/>
        </w:rPr>
        <w:t xml:space="preserve">자체 미디어화 — 이렇게 쌓인 구독자는 광고비 없이 도달하는 자산이 되어, 개장 공지·신규 존 공개·한정판 출시 등의 소식을 직접 전달할 수 있습니다.</w:t>
      </w:r>
    </w:p>
    <w:p>
      <w:pPr>
        <w:pStyle w:val="ListParagraph"/>
        <w:numPr>
          <w:ilvl w:val="0"/>
          <w:numId w:val="2"/>
        </w:numPr>
        <w:spacing w:after="100" w:line="300"/>
      </w:pPr>
      <w:r>
        <w:rPr>
          <w:color w:val="222222"/>
          <w:sz w:val="21"/>
          <w:szCs w:val="21"/>
        </w:rPr>
        <w:t xml:space="preserve">언론·취재 유입 — 국내에 없던 규모의 구동형 미니어처 세계라는 소재는 언론과 유튜버의 자발적 취재로 이어질 가능성이 높습니다.</w:t>
      </w:r>
    </w:p>
    <w:p>
      <w:pPr>
        <w:pStyle w:val="ListParagraph"/>
        <w:numPr>
          <w:ilvl w:val="0"/>
          <w:numId w:val="2"/>
        </w:numPr>
        <w:spacing w:after="100" w:line="300"/>
      </w:pPr>
      <w:r>
        <w:rPr>
          <w:color w:val="222222"/>
          <w:sz w:val="21"/>
          <w:szCs w:val="21"/>
        </w:rPr>
        <w:t xml:space="preserve">상시 콘텐츠화 — 개장 이후에도 신규 존의 제작 과정이 계속 콘텐츠가 되어, 마케팅 비용이 구조적으로 낮게 유지됩니다.</w:t>
      </w:r>
    </w:p>
    <w:p>
      <w:pPr>
        <w:pStyle w:val="Heading1"/>
        <w:pBdr>
          <w:bottom w:val="single" w:color="B8952A" w:sz="6" w:space="4"/>
        </w:pBdr>
        <w:spacing w:after="200" w:before="480"/>
      </w:pPr>
      <w:r>
        <w:rPr>
          <w:b/>
          <w:bCs/>
          <w:color w:val="1F2A44"/>
          <w:sz w:val="30"/>
          <w:szCs w:val="30"/>
        </w:rPr>
        <w:t xml:space="preserve">8. 조직 및 인력 계획</w:t>
      </w:r>
    </w:p>
    <w:p>
      <w:pPr>
        <w:spacing w:after="180" w:line="320"/>
      </w:pPr>
      <w:r>
        <w:rPr>
          <w:color w:val="222222"/>
          <w:sz w:val="21"/>
          <w:szCs w:val="21"/>
        </w:rPr>
        <w:t xml:space="preserve">개장 시점 기준 인력 구성은 다음과 같습니다.</w:t>
      </w:r>
    </w:p>
    <w:p>
      <w:pPr>
        <w:pStyle w:val="ListParagraph"/>
        <w:numPr>
          <w:ilvl w:val="0"/>
          <w:numId w:val="2"/>
        </w:numPr>
        <w:spacing w:after="100" w:line="300"/>
      </w:pPr>
      <w:r>
        <w:rPr>
          <w:color w:val="222222"/>
          <w:sz w:val="21"/>
          <w:szCs w:val="21"/>
        </w:rPr>
        <w:t xml:space="preserve">매표·안내: 1명</w:t>
      </w:r>
    </w:p>
    <w:p>
      <w:pPr>
        <w:pStyle w:val="ListParagraph"/>
        <w:numPr>
          <w:ilvl w:val="0"/>
          <w:numId w:val="2"/>
        </w:numPr>
        <w:spacing w:after="100" w:line="300"/>
      </w:pPr>
      <w:r>
        <w:rPr>
          <w:color w:val="222222"/>
          <w:sz w:val="21"/>
          <w:szCs w:val="21"/>
        </w:rPr>
        <w:t xml:space="preserve">카페 및 방문객 응대: 3~4명 (로테이션 운영)</w:t>
      </w:r>
    </w:p>
    <w:p>
      <w:pPr>
        <w:pStyle w:val="ListParagraph"/>
        <w:numPr>
          <w:ilvl w:val="0"/>
          <w:numId w:val="2"/>
        </w:numPr>
        <w:spacing w:after="100" w:line="300"/>
      </w:pPr>
      <w:r>
        <w:rPr>
          <w:color w:val="222222"/>
          <w:sz w:val="21"/>
          <w:szCs w:val="21"/>
        </w:rPr>
        <w:t xml:space="preserve">미니어처 제작팀: 3명</w:t>
      </w:r>
    </w:p>
    <w:p>
      <w:pPr>
        <w:spacing w:after="180" w:line="320"/>
      </w:pPr>
      <w:r>
        <w:rPr>
          <w:color w:val="222222"/>
          <w:sz w:val="21"/>
          <w:szCs w:val="21"/>
        </w:rPr>
        <w:t xml:space="preserve">제작팀은 매장 콘텐츠 제작과 유지보수를 전담하는 동시에 기업 홍보모형·건축모형 등 외부 수주를 병행하여, 인건비를 별도 수익원으로 전환하는 이중 역할을 수행합니다. 전 인력은 시설 구축 일정에 맞춰 단계적으로 채용하며, 투자 확정 직후 일괄 채용하지 않습니다.</w:t>
      </w:r>
    </w:p>
    <w:p>
      <w:pPr>
        <w:pStyle w:val="Heading1"/>
        <w:pBdr>
          <w:bottom w:val="single" w:color="B8952A" w:sz="6" w:space="4"/>
        </w:pBdr>
        <w:spacing w:after="200" w:before="480"/>
      </w:pPr>
      <w:r>
        <w:rPr>
          <w:b/>
          <w:bCs/>
          <w:color w:val="1F2A44"/>
          <w:sz w:val="30"/>
          <w:szCs w:val="30"/>
        </w:rPr>
        <w:t xml:space="preserve">9. 리스크 관리</w:t>
      </w:r>
    </w:p>
    <w:p>
      <w:pPr>
        <w:pStyle w:val="ListParagraph"/>
        <w:numPr>
          <w:ilvl w:val="0"/>
          <w:numId w:val="2"/>
        </w:numPr>
        <w:spacing w:after="100" w:line="300"/>
      </w:pPr>
      <w:r>
        <w:rPr>
          <w:color w:val="222222"/>
          <w:sz w:val="21"/>
          <w:szCs w:val="21"/>
        </w:rPr>
        <w:t xml:space="preserve">인허가 리스크 — 관광사업이 아닌 휴게음식점업 기반으로 시작해 진입장벽을 최소화하며, 체험형 구역의 유원시설업 해당 여부는 사전에 관할 관청을 통해 확인합니다.</w:t>
      </w:r>
    </w:p>
    <w:p>
      <w:pPr>
        <w:pStyle w:val="ListParagraph"/>
        <w:numPr>
          <w:ilvl w:val="0"/>
          <w:numId w:val="2"/>
        </w:numPr>
        <w:spacing w:after="100" w:line="300"/>
      </w:pPr>
      <w:r>
        <w:rPr>
          <w:color w:val="222222"/>
          <w:sz w:val="21"/>
          <w:szCs w:val="21"/>
        </w:rPr>
        <w:t xml:space="preserve">저작권 리스크 — 실존 브랜드·캐릭터를 모방하지 않는 독자적 세계관으로 설계합니다.</w:t>
      </w:r>
    </w:p>
    <w:p>
      <w:pPr>
        <w:pStyle w:val="ListParagraph"/>
        <w:numPr>
          <w:ilvl w:val="0"/>
          <w:numId w:val="2"/>
        </w:numPr>
        <w:spacing w:after="100" w:line="300"/>
      </w:pPr>
      <w:r>
        <w:rPr>
          <w:color w:val="222222"/>
          <w:sz w:val="21"/>
          <w:szCs w:val="21"/>
        </w:rPr>
        <w:t xml:space="preserve">자본 리스크 — 단계적 개장 구조로 초기 투입 자본을 최소화하고, 개장 이후 현금 흐름으로 후속 확장을 진행합니다.</w:t>
      </w:r>
    </w:p>
    <w:p>
      <w:pPr>
        <w:pStyle w:val="ListParagraph"/>
        <w:numPr>
          <w:ilvl w:val="0"/>
          <w:numId w:val="2"/>
        </w:numPr>
        <w:spacing w:after="100" w:line="300"/>
      </w:pPr>
      <w:r>
        <w:rPr>
          <w:color w:val="222222"/>
          <w:sz w:val="21"/>
          <w:szCs w:val="21"/>
        </w:rPr>
        <w:t xml:space="preserve">위생·안전 리스크 — 체험형 구역은 밀폐 케이스 또는 먼지 발생이 적은 대체 소재를 적용해 관리합니다.</w:t>
      </w:r>
    </w:p>
    <w:p>
      <w:pPr>
        <w:pStyle w:val="ListParagraph"/>
        <w:numPr>
          <w:ilvl w:val="0"/>
          <w:numId w:val="2"/>
        </w:numPr>
        <w:spacing w:after="100" w:line="300"/>
      </w:pPr>
      <w:r>
        <w:rPr>
          <w:color w:val="222222"/>
          <w:sz w:val="21"/>
          <w:szCs w:val="21"/>
        </w:rPr>
        <w:t xml:space="preserve">운영 리스크 — 창업자가 기획부터 제작, 운영까지 전 과정을 직접 통제하는 구조로, 외부 위탁에 따른 품질·일정 리스크를 최소화합니다.</w:t>
      </w:r>
    </w:p>
    <w:p>
      <w:pPr>
        <w:pStyle w:val="Heading1"/>
        <w:pBdr>
          <w:bottom w:val="single" w:color="B8952A" w:sz="6" w:space="4"/>
        </w:pBdr>
        <w:spacing w:after="200" w:before="480"/>
      </w:pPr>
      <w:r>
        <w:rPr>
          <w:b/>
          <w:bCs/>
          <w:color w:val="1F2A44"/>
          <w:sz w:val="30"/>
          <w:szCs w:val="30"/>
        </w:rPr>
        <w:t xml:space="preserve">10. 신청자 소개</w:t>
      </w:r>
    </w:p>
    <w:p>
      <w:pPr>
        <w:spacing w:after="180" w:line="320"/>
      </w:pPr>
      <w:r>
        <w:rPr>
          <w:color w:val="222222"/>
          <w:sz w:val="21"/>
          <w:szCs w:val="21"/>
        </w:rPr>
        <w:t xml:space="preserve">신청자는 5년 이상 사업체를 단독으로 기획·운영해온 사업가입니다. 상품 기획부터 브랜딩, 온라인 판매채널 구축, 마케팅, 정부지원사업 유치까지 사업의 전 과정을 직접 수행해왔으며, 필요한 기술은 스스로 습득하여 해결하는 방식으로 사업을 성장시켜왔습니다. 디오월드의 기획·제작·운영 전체를 신청자가 직접 책임지고 이끌어갈 계획입니다.</w:t>
      </w:r>
    </w:p>
    <w:p>
      <w:pPr>
        <w:pStyle w:val="Heading1"/>
        <w:pBdr>
          <w:bottom w:val="single" w:color="B8952A" w:sz="6" w:space="4"/>
        </w:pBdr>
        <w:spacing w:after="200" w:before="480"/>
      </w:pPr>
      <w:r>
        <w:rPr>
          <w:b/>
          <w:bCs/>
          <w:color w:val="1F2A44"/>
          <w:sz w:val="30"/>
          <w:szCs w:val="30"/>
        </w:rPr>
        <w:t xml:space="preserve">11. 투자 제안</w:t>
      </w:r>
    </w:p>
    <w:p>
      <w:pPr>
        <w:pStyle w:val="ListParagraph"/>
        <w:numPr>
          <w:ilvl w:val="0"/>
          <w:numId w:val="2"/>
        </w:numPr>
        <w:spacing w:after="100" w:line="300"/>
      </w:pPr>
      <w:r>
        <w:rPr>
          <w:color w:val="222222"/>
          <w:sz w:val="21"/>
          <w:szCs w:val="21"/>
        </w:rPr>
        <w:t xml:space="preserve">요청 투자 규모: 5억 원 이상</w:t>
      </w:r>
    </w:p>
    <w:p>
      <w:pPr>
        <w:pStyle w:val="ListParagraph"/>
        <w:numPr>
          <w:ilvl w:val="0"/>
          <w:numId w:val="2"/>
        </w:numPr>
        <w:spacing w:after="100" w:line="300"/>
      </w:pPr>
      <w:r>
        <w:rPr>
          <w:color w:val="222222"/>
          <w:sz w:val="21"/>
          <w:szCs w:val="21"/>
        </w:rPr>
        <w:t xml:space="preserve">자금 용도: 부지 임대보증금, 인테리어, 제작팀 인건비·재료비, 초기 운영자금</w:t>
      </w:r>
    </w:p>
    <w:p>
      <w:pPr>
        <w:pStyle w:val="ListParagraph"/>
        <w:numPr>
          <w:ilvl w:val="0"/>
          <w:numId w:val="2"/>
        </w:numPr>
        <w:spacing w:after="100" w:line="300"/>
      </w:pPr>
      <w:r>
        <w:rPr>
          <w:color w:val="222222"/>
          <w:sz w:val="21"/>
          <w:szCs w:val="21"/>
        </w:rPr>
        <w:t xml:space="preserve">지분 및 수익 배분: 협의 후 결정, 정식 동업계약서 체결 후 법인 설립</w:t>
      </w:r>
    </w:p>
    <w:p>
      <w:pPr>
        <w:pStyle w:val="ListParagraph"/>
        <w:numPr>
          <w:ilvl w:val="0"/>
          <w:numId w:val="2"/>
        </w:numPr>
        <w:spacing w:after="100" w:line="300"/>
      </w:pPr>
      <w:r>
        <w:rPr>
          <w:color w:val="222222"/>
          <w:sz w:val="21"/>
          <w:szCs w:val="21"/>
        </w:rPr>
        <w:t xml:space="preserve">상세 자료: 3개 시나리오 재무 모델, 원금 회수 계획, 공간 설계안은 대면 미팅 시 공개</w:t>
      </w:r>
    </w:p>
    <w:p>
      <w:pPr>
        <w:spacing w:after="180" w:line="320"/>
      </w:pPr>
      <w:r>
        <w:rPr>
          <w:b w:val="false"/>
          <w:bCs w:val="false"/>
          <w:color w:val="222222"/>
          <w:sz w:val="21"/>
          <w:szCs w:val="21"/>
        </w:rPr>
        <w:t xml:space="preserve">이 시장의 첫 번째 자리를 함께 만들어갈 초기 투자 파트너를 찾고 있습니다. 바쁘신 중에 끝까지 읽어주셔서 감사드리며, 진지하게 검토해 주시면 감사하겠습니다. 아래 연락처로 편하게 연락 주시기 바랍니다.</w:t>
      </w:r>
    </w:p>
    <w:p>
      <w:pPr>
        <w:spacing w:before="200"/>
      </w:pPr>
      <w:r>
        <w:rPr>
          <w:b/>
          <w:bCs/>
          <w:color w:val="1F2A44"/>
          <w:sz w:val="22"/>
          <w:szCs w:val="22"/>
        </w:rPr>
        <w:t xml:space="preserve">연락처: 010-2478-1696</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t xml:space="preserve">디오월드 사업계획서   |   </w:t>
    </w:r>
    <w:r>
      <w:rPr>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lvl>
  </w:abstractNum>
  <w:abstractNum w:abstractNumId="3" w15:restartNumberingAfterBreak="0">
    <w:multiLevelType w:val="hybridMultilevel"/>
    <w:lvl w:ilvl="0" w15:tentative="1">
      <w:start w:val="1"/>
      <w:numFmt w:val="decimal"/>
      <w:lvlText w:val="%1."/>
      <w:lvlJc w:val="left"/>
      <w:pPr>
        <w:ind w:left="48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2026-08-04T06:47:00.905Z</dcterms:created>
  <dcterms:modified xsi:type="dcterms:W3CDTF">2026-08-04T06:47:00.916Z</dcterms:modified>
</cp:coreProperties>
</file>

<file path=docProps/custom.xml><?xml version="1.0" encoding="utf-8"?>
<Properties xmlns="http://schemas.openxmlformats.org/officeDocument/2006/custom-properties" xmlns:vt="http://schemas.openxmlformats.org/officeDocument/2006/docPropsVTypes"/>
</file>